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黑体" w:hAnsi="黑体" w:eastAsia="黑体" w:cs="微软雅黑"/>
          <w:kern w:val="0"/>
          <w:sz w:val="32"/>
          <w:szCs w:val="32"/>
          <w:lang w:val="en-US" w:eastAsia="zh-CN"/>
        </w:rPr>
      </w:pPr>
      <w:r>
        <w:rPr>
          <w:rFonts w:hint="eastAsia" w:ascii="黑体" w:hAnsi="黑体" w:eastAsia="黑体" w:cs="微软雅黑"/>
          <w:kern w:val="0"/>
          <w:sz w:val="32"/>
          <w:szCs w:val="32"/>
          <w:lang w:eastAsia="zh-CN"/>
        </w:rPr>
        <w:t>附件</w:t>
      </w:r>
      <w:r>
        <w:rPr>
          <w:rFonts w:hint="eastAsia" w:ascii="黑体" w:hAnsi="黑体" w:eastAsia="黑体" w:cs="微软雅黑"/>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黑体" w:hAnsi="黑体" w:eastAsia="黑体" w:cs="微软雅黑"/>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高</w:t>
      </w:r>
      <w:r>
        <w:rPr>
          <w:rFonts w:hint="default" w:ascii="Times New Roman" w:hAnsi="Times New Roman" w:eastAsia="方正小标宋简体" w:cs="Times New Roman"/>
          <w:kern w:val="0"/>
          <w:sz w:val="44"/>
          <w:szCs w:val="44"/>
          <w:lang w:eastAsia="zh-CN"/>
        </w:rPr>
        <w:t>等职业教育指标及相关内涵说明</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jc w:val="both"/>
        <w:textAlignment w:val="auto"/>
        <w:outlineLvl w:val="9"/>
        <w:rPr>
          <w:rFonts w:hint="eastAsia" w:ascii="黑体" w:hAnsi="黑体" w:eastAsia="黑体" w:cs="微软雅黑"/>
          <w:kern w:val="0"/>
          <w:sz w:val="36"/>
          <w:szCs w:val="36"/>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黑体" w:hAnsi="黑体" w:eastAsia="黑体" w:cs="黑体"/>
          <w:kern w:val="0"/>
          <w:sz w:val="32"/>
          <w:szCs w:val="32"/>
          <w:lang w:eastAsia="zh-CN"/>
        </w:rPr>
        <w:t>一、高等职业学校</w:t>
      </w:r>
      <w:r>
        <w:rPr>
          <w:rFonts w:hint="eastAsia" w:ascii="黑体" w:hAnsi="黑体" w:eastAsia="黑体" w:cs="黑体"/>
          <w:kern w:val="0"/>
          <w:sz w:val="32"/>
          <w:szCs w:val="32"/>
        </w:rPr>
        <w:t>填写说明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shd w:val="clear" w:color="auto" w:fill="FFFFFF"/>
        </w:rPr>
        <w:t>1.</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计分卡</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学生反馈表</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教学资源表</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国际影响表</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服务贡献表</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和</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落实政策表</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中的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院校代码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须与高等职业院校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人才培养工作状态数据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一致</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院校名称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须填写学校全称。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3.数据</w:t>
      </w:r>
      <w:r>
        <w:rPr>
          <w:rFonts w:hint="default" w:ascii="Times New Roman" w:hAnsi="Times New Roman" w:eastAsia="仿宋_GB2312" w:cs="Times New Roman"/>
          <w:sz w:val="32"/>
          <w:szCs w:val="32"/>
          <w:lang w:val="en-US" w:eastAsia="zh-CN"/>
        </w:rPr>
        <w:t>指标内涵</w:t>
      </w:r>
      <w:r>
        <w:rPr>
          <w:rFonts w:hint="default" w:ascii="Times New Roman" w:hAnsi="Times New Roman" w:eastAsia="仿宋_GB2312" w:cs="Times New Roman"/>
          <w:sz w:val="32"/>
          <w:szCs w:val="32"/>
        </w:rPr>
        <w:t>与高等职业院校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人才培养工作状态数据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一致。例如，全日制在校生人数、</w:t>
      </w:r>
      <w:r>
        <w:rPr>
          <w:rFonts w:hint="default" w:ascii="Times New Roman" w:hAnsi="Times New Roman" w:eastAsia="仿宋_GB2312" w:cs="Times New Roman"/>
          <w:kern w:val="0"/>
          <w:sz w:val="32"/>
          <w:szCs w:val="32"/>
        </w:rPr>
        <w:t>生师比、双师素质专任专业教师人数、教学计划内课程总学时等</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4.表中全部数据指标统</w:t>
      </w:r>
      <w:r>
        <w:rPr>
          <w:rFonts w:hint="eastAsia" w:ascii="仿宋_GB2312" w:hAnsi="仿宋_GB2312" w:eastAsia="仿宋_GB2312" w:cs="仿宋_GB2312"/>
          <w:sz w:val="32"/>
          <w:szCs w:val="32"/>
        </w:rPr>
        <w:t>计时段与高等职业院校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人才培养工作状态数据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一致</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5.请注意对照表格中标注的计量单位，网上填报仅填写数字，小数点后保留两位。</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6.若数据为零值，请填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；若该指标无数据，则</w:t>
      </w:r>
      <w:r>
        <w:rPr>
          <w:rFonts w:hint="default" w:ascii="Times New Roman" w:hAnsi="Times New Roman" w:eastAsia="仿宋_GB2312" w:cs="Times New Roman"/>
          <w:sz w:val="32"/>
          <w:szCs w:val="32"/>
          <w:lang w:val="en-US" w:eastAsia="zh-CN"/>
        </w:rPr>
        <w:t>可以不用填写</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7.除备注中标注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学校填报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的数据需学校填报外，其余指标数据均可由</w:t>
      </w:r>
      <w:r>
        <w:rPr>
          <w:rFonts w:hint="default" w:ascii="Times New Roman" w:hAnsi="Times New Roman" w:eastAsia="仿宋_GB2312" w:cs="Times New Roman"/>
          <w:sz w:val="32"/>
          <w:szCs w:val="32"/>
        </w:rPr>
        <w:t>高等职业院校“人才培养工作状态数据”</w:t>
      </w:r>
      <w:r>
        <w:rPr>
          <w:rFonts w:hint="default" w:ascii="Times New Roman" w:hAnsi="Times New Roman" w:eastAsia="仿宋_GB2312" w:cs="Times New Roman"/>
          <w:sz w:val="32"/>
          <w:szCs w:val="32"/>
          <w:lang w:val="en-US" w:eastAsia="zh-CN"/>
        </w:rPr>
        <w:t>提取，只需学校在高职质量年报报送平台上加以确认并提交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也可学校自行填报并提交。</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二、“计分卡”指标及相关内涵说明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“计分卡”系综合衡量院校人才培养质量的管理评价工具。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bCs/>
          <w:sz w:val="32"/>
          <w:szCs w:val="32"/>
          <w:lang w:val="en-US" w:eastAsia="zh-CN"/>
        </w:rPr>
        <w:t>就业率</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已就业毕业生人数</w:t>
      </w:r>
      <w:r>
        <w:rPr>
          <w:rFonts w:hint="eastAsia" w:ascii="楷体_GB2312" w:hAnsi="楷体_GB2312" w:eastAsia="楷体_GB2312" w:cs="楷体_GB2312"/>
          <w:b w:val="0"/>
          <w:bCs w:val="0"/>
          <w:sz w:val="32"/>
          <w:szCs w:val="32"/>
          <w:lang w:val="en-US" w:eastAsia="zh-CN"/>
        </w:rPr>
        <w:t>/</w:t>
      </w:r>
      <w:r>
        <w:rPr>
          <w:rFonts w:hint="eastAsia" w:ascii="Times New Roman" w:hAnsi="Times New Roman" w:eastAsia="仿宋_GB2312" w:cs="Times New Roman"/>
          <w:sz w:val="32"/>
          <w:szCs w:val="32"/>
          <w:lang w:val="en-US" w:eastAsia="zh-CN"/>
        </w:rPr>
        <w:t>毕业生总人数*100%。其中，已就业毕业生包括受雇全职工作人员、受雇半职工作人员、自主创业就业人员、毕业后入伍人员、毕业后读本科人员。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月收入</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指包含奖金、提成、住宿、住房公积金等折算成的现金总和。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bCs/>
          <w:sz w:val="32"/>
          <w:szCs w:val="32"/>
          <w:lang w:val="en-US" w:eastAsia="zh-CN"/>
        </w:rPr>
        <w:t>理工农医类专业相关度</w:t>
      </w:r>
      <w:r>
        <w:rPr>
          <w:rFonts w:hint="eastAsia" w:ascii="Times New Roman" w:hAnsi="Times New Roman" w:eastAsia="仿宋_GB2312" w:cs="Times New Roman"/>
          <w:b w:val="0"/>
          <w:bCs w:val="0"/>
          <w:sz w:val="32"/>
          <w:szCs w:val="32"/>
          <w:lang w:val="en-US" w:eastAsia="zh-CN"/>
        </w:rPr>
        <w:t>：指理工农医类专业的毕业生所从事的工作与所学专业相关的比例，分母是理工农医类专业就业的毕业生人数，分子是理工农医类专业的毕业生所从事的工作与所学专业相关的人数。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母校满意度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指本校高职毕业生对母校表示满意的比例。</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bCs/>
          <w:sz w:val="32"/>
          <w:szCs w:val="32"/>
          <w:lang w:val="en-US" w:eastAsia="zh-CN"/>
        </w:rPr>
        <w:t>雇主满意度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指录用应届高职毕业生的单位或部门对录用本校学生的满意度评价。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b/>
          <w:bCs/>
          <w:sz w:val="32"/>
          <w:szCs w:val="32"/>
          <w:lang w:val="en-US" w:eastAsia="zh-CN"/>
        </w:rPr>
        <w:t>毕业三年晋升比例</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本校2015级高职生毕业三年后有过职位晋升的比例。分母是本校2015级高职毕业生数，分子是毕业三年后有过职位晋升的本校2015级高职毕业生数，其中，职位晋升形式可包含职级的增加、管理权限的扩大、专业职称的提升及由此带来的薪资提高。</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theme="minorBidi"/>
          <w:sz w:val="24"/>
          <w:szCs w:val="24"/>
        </w:rPr>
        <w:t>表</w:t>
      </w:r>
      <w:r>
        <w:rPr>
          <w:rFonts w:ascii="黑体" w:hAnsi="黑体" w:eastAsia="黑体" w:cstheme="minorBidi"/>
          <w:sz w:val="24"/>
          <w:szCs w:val="24"/>
        </w:rPr>
        <w:t xml:space="preserve">1 </w:t>
      </w:r>
      <w:r>
        <w:rPr>
          <w:rFonts w:hint="eastAsia" w:ascii="黑体" w:hAnsi="黑体" w:eastAsia="黑体" w:cstheme="minorBidi"/>
          <w:sz w:val="24"/>
          <w:szCs w:val="24"/>
          <w:lang w:val="en-US" w:eastAsia="zh-CN"/>
        </w:rPr>
        <w:t xml:space="preserve"> </w:t>
      </w:r>
      <w:r>
        <w:rPr>
          <w:rFonts w:hint="eastAsia" w:ascii="黑体" w:hAnsi="黑体" w:eastAsia="黑体" w:cstheme="minorBidi"/>
          <w:sz w:val="24"/>
          <w:szCs w:val="24"/>
        </w:rPr>
        <w:t>计分卡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Times New Roman"/>
          <w:sz w:val="32"/>
          <w:szCs w:val="32"/>
          <w:lang w:val="en-US" w:eastAsia="zh-CN"/>
        </w:rPr>
      </w:pPr>
    </w:p>
    <w:tbl>
      <w:tblPr>
        <w:tblStyle w:val="5"/>
        <w:tblpPr w:leftFromText="180" w:rightFromText="180" w:vertAnchor="text" w:horzAnchor="page" w:tblpX="1628" w:tblpY="-238"/>
        <w:tblOverlap w:val="never"/>
        <w:tblW w:w="8995" w:type="dxa"/>
        <w:jc w:val="center"/>
        <w:tblLayout w:type="fixed"/>
        <w:tblCellMar>
          <w:top w:w="0" w:type="dxa"/>
          <w:left w:w="108" w:type="dxa"/>
          <w:bottom w:w="0" w:type="dxa"/>
          <w:right w:w="108" w:type="dxa"/>
        </w:tblCellMar>
      </w:tblPr>
      <w:tblGrid>
        <w:gridCol w:w="797"/>
        <w:gridCol w:w="799"/>
        <w:gridCol w:w="493"/>
        <w:gridCol w:w="2689"/>
        <w:gridCol w:w="842"/>
        <w:gridCol w:w="1080"/>
        <w:gridCol w:w="1050"/>
        <w:gridCol w:w="1245"/>
      </w:tblGrid>
      <w:tr>
        <w:tblPrEx>
          <w:tblCellMar>
            <w:top w:w="0" w:type="dxa"/>
            <w:left w:w="108" w:type="dxa"/>
            <w:bottom w:w="0" w:type="dxa"/>
            <w:right w:w="108" w:type="dxa"/>
          </w:tblCellMar>
        </w:tblPrEx>
        <w:trPr>
          <w:trHeight w:val="759" w:hRule="atLeast"/>
          <w:jc w:val="center"/>
        </w:trPr>
        <w:tc>
          <w:tcPr>
            <w:tcW w:w="797" w:type="dxa"/>
            <w:tcBorders>
              <w:top w:val="single" w:color="auto" w:sz="4" w:space="0"/>
              <w:left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院校代码</w:t>
            </w:r>
          </w:p>
        </w:tc>
        <w:tc>
          <w:tcPr>
            <w:tcW w:w="799"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院校名称</w:t>
            </w:r>
          </w:p>
        </w:tc>
        <w:tc>
          <w:tcPr>
            <w:tcW w:w="31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指标</w:t>
            </w:r>
          </w:p>
        </w:tc>
        <w:tc>
          <w:tcPr>
            <w:tcW w:w="84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单位</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2020年</w:t>
            </w:r>
          </w:p>
        </w:tc>
        <w:tc>
          <w:tcPr>
            <w:tcW w:w="10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2021年</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b/>
                <w:bCs/>
                <w:kern w:val="0"/>
                <w:sz w:val="24"/>
                <w:szCs w:val="24"/>
                <w:lang w:val="en-US" w:eastAsia="zh-CN"/>
              </w:rPr>
            </w:pPr>
            <w:r>
              <w:rPr>
                <w:rFonts w:hint="default" w:ascii="Times New Roman" w:hAnsi="Times New Roman" w:eastAsia="仿宋_GB2312" w:cs="Times New Roman"/>
                <w:b/>
                <w:bCs/>
                <w:kern w:val="0"/>
                <w:sz w:val="24"/>
                <w:szCs w:val="24"/>
                <w:lang w:val="en-US" w:eastAsia="zh-CN"/>
              </w:rPr>
              <w:t>备注</w:t>
            </w:r>
          </w:p>
        </w:tc>
      </w:tr>
      <w:tr>
        <w:tblPrEx>
          <w:tblCellMar>
            <w:top w:w="0" w:type="dxa"/>
            <w:left w:w="108" w:type="dxa"/>
            <w:bottom w:w="0" w:type="dxa"/>
            <w:right w:w="108" w:type="dxa"/>
          </w:tblCellMar>
        </w:tblPrEx>
        <w:trPr>
          <w:trHeight w:val="306" w:hRule="atLeast"/>
          <w:jc w:val="center"/>
        </w:trPr>
        <w:tc>
          <w:tcPr>
            <w:tcW w:w="797" w:type="dxa"/>
            <w:vMerge w:val="restart"/>
            <w:tcBorders>
              <w:top w:val="single" w:color="auto" w:sz="4" w:space="0"/>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799" w:type="dxa"/>
            <w:vMerge w:val="restart"/>
            <w:tcBorders>
              <w:top w:val="single" w:color="auto" w:sz="4" w:space="0"/>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就业率</w:t>
            </w:r>
            <w:r>
              <w:rPr>
                <w:rFonts w:hint="default" w:ascii="Times New Roman" w:hAnsi="Times New Roman" w:eastAsia="仿宋_GB2312" w:cs="Times New Roman"/>
                <w:color w:val="FF0000"/>
                <w:kern w:val="0"/>
                <w:sz w:val="24"/>
                <w:szCs w:val="24"/>
              </w:rPr>
              <w:t xml:space="preserve"> </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both"/>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06" w:hRule="atLeast"/>
          <w:jc w:val="center"/>
        </w:trPr>
        <w:tc>
          <w:tcPr>
            <w:tcW w:w="797" w:type="dxa"/>
            <w:vMerge w:val="continue"/>
            <w:tcBorders>
              <w:top w:val="single" w:color="auto" w:sz="4" w:space="0"/>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799" w:type="dxa"/>
            <w:vMerge w:val="continue"/>
            <w:tcBorders>
              <w:top w:val="single" w:color="auto" w:sz="4" w:space="0"/>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highlight w:val="yellow"/>
              </w:rPr>
            </w:pPr>
            <w:r>
              <w:rPr>
                <w:rFonts w:hint="default" w:ascii="Times New Roman" w:hAnsi="Times New Roman" w:eastAsia="仿宋_GB2312" w:cs="Times New Roman"/>
                <w:kern w:val="0"/>
                <w:sz w:val="24"/>
                <w:szCs w:val="24"/>
              </w:rPr>
              <w:t>2</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毕业生本省就业比例</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06" w:hRule="atLeast"/>
          <w:jc w:val="center"/>
        </w:trPr>
        <w:tc>
          <w:tcPr>
            <w:tcW w:w="797"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799"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月收入</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06" w:hRule="atLeast"/>
          <w:jc w:val="center"/>
        </w:trPr>
        <w:tc>
          <w:tcPr>
            <w:tcW w:w="797"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ind w:firstLine="120" w:firstLineChars="50"/>
              <w:textAlignment w:val="auto"/>
              <w:rPr>
                <w:rFonts w:hint="default" w:ascii="Times New Roman" w:hAnsi="Times New Roman" w:eastAsia="仿宋_GB2312" w:cs="Times New Roman"/>
                <w:kern w:val="0"/>
                <w:sz w:val="24"/>
                <w:szCs w:val="24"/>
              </w:rPr>
            </w:pPr>
          </w:p>
        </w:tc>
        <w:tc>
          <w:tcPr>
            <w:tcW w:w="799"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ind w:firstLine="120" w:firstLineChars="50"/>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理工农医类专业相关度</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06" w:hRule="atLeast"/>
          <w:jc w:val="center"/>
        </w:trPr>
        <w:tc>
          <w:tcPr>
            <w:tcW w:w="797"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ind w:firstLine="120" w:firstLineChars="50"/>
              <w:textAlignment w:val="auto"/>
              <w:rPr>
                <w:rFonts w:hint="default" w:ascii="Times New Roman" w:hAnsi="Times New Roman" w:eastAsia="仿宋_GB2312" w:cs="Times New Roman"/>
                <w:kern w:val="0"/>
                <w:sz w:val="24"/>
                <w:szCs w:val="24"/>
              </w:rPr>
            </w:pPr>
          </w:p>
        </w:tc>
        <w:tc>
          <w:tcPr>
            <w:tcW w:w="799"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ind w:firstLine="120" w:firstLineChars="50"/>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母校满意度</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学校填报</w:t>
            </w:r>
          </w:p>
        </w:tc>
      </w:tr>
      <w:tr>
        <w:tblPrEx>
          <w:tblCellMar>
            <w:top w:w="0" w:type="dxa"/>
            <w:left w:w="108" w:type="dxa"/>
            <w:bottom w:w="0" w:type="dxa"/>
            <w:right w:w="108" w:type="dxa"/>
          </w:tblCellMar>
        </w:tblPrEx>
        <w:trPr>
          <w:trHeight w:val="306" w:hRule="atLeast"/>
          <w:jc w:val="center"/>
        </w:trPr>
        <w:tc>
          <w:tcPr>
            <w:tcW w:w="797"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799"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自主创业比例</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06" w:hRule="atLeast"/>
          <w:jc w:val="center"/>
        </w:trPr>
        <w:tc>
          <w:tcPr>
            <w:tcW w:w="797"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799" w:type="dxa"/>
            <w:vMerge w:val="continue"/>
            <w:tcBorders>
              <w:left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雇主满意度</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学校填报</w:t>
            </w:r>
          </w:p>
        </w:tc>
      </w:tr>
      <w:tr>
        <w:tblPrEx>
          <w:tblCellMar>
            <w:top w:w="0" w:type="dxa"/>
            <w:left w:w="108" w:type="dxa"/>
            <w:bottom w:w="0" w:type="dxa"/>
            <w:right w:w="108" w:type="dxa"/>
          </w:tblCellMar>
        </w:tblPrEx>
        <w:trPr>
          <w:trHeight w:val="306" w:hRule="atLeast"/>
          <w:jc w:val="center"/>
        </w:trPr>
        <w:tc>
          <w:tcPr>
            <w:tcW w:w="797" w:type="dxa"/>
            <w:vMerge w:val="continue"/>
            <w:tcBorders>
              <w:left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799" w:type="dxa"/>
            <w:vMerge w:val="continue"/>
            <w:tcBorders>
              <w:left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49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26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毕业三年晋升比例</w:t>
            </w:r>
          </w:p>
        </w:tc>
        <w:tc>
          <w:tcPr>
            <w:tcW w:w="8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color w:val="FF0000"/>
                <w:kern w:val="0"/>
                <w:sz w:val="24"/>
                <w:szCs w:val="24"/>
              </w:rPr>
            </w:pPr>
          </w:p>
        </w:tc>
        <w:tc>
          <w:tcPr>
            <w:tcW w:w="10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c>
          <w:tcPr>
            <w:tcW w:w="124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_GB2312" w:cs="Times New Roman"/>
                <w:kern w:val="0"/>
                <w:sz w:val="24"/>
                <w:szCs w:val="24"/>
              </w:rPr>
            </w:pPr>
          </w:p>
        </w:tc>
      </w:tr>
    </w:tbl>
    <w:p>
      <w:pPr>
        <w:keepNext w:val="0"/>
        <w:keepLines w:val="0"/>
        <w:pageBreakBefore w:val="0"/>
        <w:widowControl/>
        <w:kinsoku/>
        <w:wordWrap/>
        <w:overflowPunct/>
        <w:topLinePunct w:val="0"/>
        <w:autoSpaceDE/>
        <w:autoSpaceDN/>
        <w:bidi w:val="0"/>
        <w:adjustRightInd w:val="0"/>
        <w:snapToGrid w:val="0"/>
        <w:spacing w:before="0" w:beforeLines="0" w:line="240" w:lineRule="auto"/>
        <w:ind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三、“学生反馈表”指标及相关内涵说明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“学生反馈表”系通过高等职业学校学生的在校体验与反馈来反映学校立德树人典型成效的评价管理工具。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课堂育人满意度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指学生对于课堂育人活动表示满意的比例。</w:t>
      </w:r>
      <w:r>
        <w:rPr>
          <w:rFonts w:hint="eastAsia" w:ascii="Times New Roman" w:hAnsi="Times New Roman" w:eastAsia="仿宋_GB2312" w:cs="Times New Roman"/>
          <w:b/>
          <w:bCs/>
          <w:sz w:val="32"/>
          <w:szCs w:val="32"/>
          <w:lang w:val="en-US" w:eastAsia="zh-CN"/>
        </w:rPr>
        <w:t>课外育人满意度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指学生对于学校开展的课堂以外的育人活动表示满意的比例。若开展了多次满意度调研，则填写满意度的平均值。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思想政治课教学满意度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指学生对于学校开设的思想政治课程的教材、教师、教学等方面表示满意的比例。</w:t>
      </w:r>
      <w:r>
        <w:rPr>
          <w:rFonts w:hint="eastAsia" w:ascii="Times New Roman" w:hAnsi="Times New Roman" w:eastAsia="仿宋_GB2312" w:cs="Times New Roman"/>
          <w:b/>
          <w:bCs/>
          <w:sz w:val="32"/>
          <w:szCs w:val="32"/>
          <w:lang w:val="en-US" w:eastAsia="zh-CN"/>
        </w:rPr>
        <w:t>公共基础课教学满意度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指学生对于学校开设的公共基础课（不含思想政治课）表示满意的比例。</w:t>
      </w:r>
      <w:r>
        <w:rPr>
          <w:rFonts w:hint="eastAsia" w:ascii="Times New Roman" w:hAnsi="Times New Roman" w:eastAsia="仿宋_GB2312" w:cs="Times New Roman"/>
          <w:b/>
          <w:bCs/>
          <w:sz w:val="32"/>
          <w:szCs w:val="32"/>
          <w:lang w:val="en-US" w:eastAsia="zh-CN"/>
        </w:rPr>
        <w:t>专业课教学满意度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指学生对于学校开设的专业课程表示满意的比例。若开展了多次满意度调研，则填写满意度的平均值。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bCs/>
          <w:sz w:val="32"/>
          <w:szCs w:val="32"/>
          <w:lang w:val="en-US" w:eastAsia="zh-CN"/>
        </w:rPr>
        <w:t>学生工作满意度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指学生对学工部门、团委、学生会、社团联合会等单位开展的学生工作与活动表示满意的比例。</w:t>
      </w:r>
      <w:r>
        <w:rPr>
          <w:rFonts w:hint="eastAsia" w:ascii="Times New Roman" w:hAnsi="Times New Roman" w:eastAsia="仿宋_GB2312" w:cs="Times New Roman"/>
          <w:b/>
          <w:bCs/>
          <w:sz w:val="32"/>
          <w:szCs w:val="32"/>
          <w:lang w:val="en-US" w:eastAsia="zh-CN"/>
        </w:rPr>
        <w:t>教学管理满意度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指学生对于学校在课程设置、实习实践、测评考核等教学管理各个方面表示满意的比例。</w:t>
      </w:r>
      <w:r>
        <w:rPr>
          <w:rFonts w:hint="eastAsia" w:ascii="Times New Roman" w:hAnsi="Times New Roman" w:eastAsia="仿宋_GB2312" w:cs="Times New Roman"/>
          <w:b/>
          <w:bCs/>
          <w:sz w:val="32"/>
          <w:szCs w:val="32"/>
          <w:lang w:val="en-US" w:eastAsia="zh-CN"/>
        </w:rPr>
        <w:t>后勤服务满意度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指学生对于学校食堂、宿舍、洗浴等后勤服务质量、服务态度、基本设施等方面表示满意的比例。若开展了多次满意度调研，则填写满意度的平均值。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学生社团参与度</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指本校高职学生参与过社团活动的比例。其中，</w:t>
      </w:r>
      <w:r>
        <w:rPr>
          <w:rFonts w:hint="eastAsia" w:ascii="Times New Roman" w:hAnsi="Times New Roman" w:eastAsia="仿宋_GB2312" w:cs="Times New Roman"/>
          <w:b/>
          <w:bCs/>
          <w:sz w:val="32"/>
          <w:szCs w:val="32"/>
          <w:lang w:val="en-US" w:eastAsia="zh-CN"/>
        </w:rPr>
        <w:t>学生社团数</w:t>
      </w:r>
      <w:r>
        <w:rPr>
          <w:rFonts w:hint="eastAsia" w:ascii="Times New Roman" w:hAnsi="Times New Roman" w:eastAsia="仿宋_GB2312" w:cs="Times New Roman"/>
          <w:sz w:val="32"/>
          <w:szCs w:val="32"/>
          <w:lang w:val="en-US" w:eastAsia="zh-CN"/>
        </w:rPr>
        <w:t>指学校开办的社团总数；</w:t>
      </w:r>
      <w:r>
        <w:rPr>
          <w:rFonts w:hint="eastAsia" w:ascii="Times New Roman" w:hAnsi="Times New Roman" w:eastAsia="仿宋_GB2312" w:cs="Times New Roman"/>
          <w:b/>
          <w:bCs/>
          <w:sz w:val="32"/>
          <w:szCs w:val="32"/>
          <w:lang w:val="en-US" w:eastAsia="zh-CN"/>
        </w:rPr>
        <w:t>参与各社团的学生人数</w:t>
      </w:r>
      <w:r>
        <w:rPr>
          <w:rFonts w:hint="eastAsia" w:ascii="Times New Roman" w:hAnsi="Times New Roman" w:eastAsia="仿宋_GB2312" w:cs="Times New Roman"/>
          <w:sz w:val="32"/>
          <w:szCs w:val="32"/>
          <w:lang w:val="en-US" w:eastAsia="zh-CN"/>
        </w:rPr>
        <w:t>指分别参与不同社团活动的人数，应逐一列出。</w:t>
      </w:r>
    </w:p>
    <w:p>
      <w:pPr>
        <w:widowControl/>
        <w:spacing w:line="520" w:lineRule="exact"/>
        <w:jc w:val="center"/>
        <w:rPr>
          <w:rFonts w:hint="eastAsia" w:ascii="黑体" w:hAnsi="黑体" w:eastAsia="黑体" w:cstheme="minorBidi"/>
          <w:sz w:val="24"/>
          <w:szCs w:val="24"/>
        </w:rPr>
      </w:pPr>
      <w:r>
        <w:rPr>
          <w:rFonts w:ascii="黑体" w:hAnsi="黑体" w:eastAsia="黑体" w:cstheme="minorBidi"/>
          <w:sz w:val="24"/>
          <w:szCs w:val="24"/>
        </w:rPr>
        <w:t>表</w:t>
      </w:r>
      <w:r>
        <w:rPr>
          <w:rFonts w:hint="eastAsia" w:ascii="黑体" w:hAnsi="黑体" w:eastAsia="黑体" w:cstheme="minorBidi"/>
          <w:sz w:val="24"/>
          <w:szCs w:val="24"/>
        </w:rPr>
        <w:t>2  学生反馈表</w:t>
      </w:r>
    </w:p>
    <w:tbl>
      <w:tblPr>
        <w:tblStyle w:val="6"/>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65"/>
        <w:gridCol w:w="425"/>
        <w:gridCol w:w="2018"/>
        <w:gridCol w:w="1452"/>
        <w:gridCol w:w="865"/>
        <w:gridCol w:w="1004"/>
        <w:gridCol w:w="100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9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院校代码</w:t>
            </w:r>
          </w:p>
        </w:tc>
        <w:tc>
          <w:tcPr>
            <w:tcW w:w="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院校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201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指标</w:t>
            </w:r>
          </w:p>
        </w:tc>
        <w:tc>
          <w:tcPr>
            <w:tcW w:w="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5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2020级</w:t>
            </w:r>
          </w:p>
        </w:tc>
        <w:tc>
          <w:tcPr>
            <w:tcW w:w="5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2021级</w:t>
            </w:r>
          </w:p>
        </w:tc>
        <w:tc>
          <w:tcPr>
            <w:tcW w:w="665" w:type="pc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restar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790" w:type="pct"/>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全日制在校生人数</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938" w:type="pct"/>
            <w:gridSpan w:val="6"/>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教书育人满意度—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（1）课堂</w:t>
            </w:r>
            <w:r>
              <w:rPr>
                <w:rFonts w:hint="default" w:ascii="Times New Roman" w:hAnsi="Times New Roman" w:eastAsia="仿宋_GB2312" w:cs="Times New Roman"/>
                <w:kern w:val="0"/>
                <w:sz w:val="24"/>
                <w:szCs w:val="24"/>
              </w:rPr>
              <w:t>育</w:t>
            </w:r>
            <w:r>
              <w:rPr>
                <w:rFonts w:hint="default" w:ascii="Times New Roman" w:hAnsi="Times New Roman" w:eastAsia="仿宋_GB2312" w:cs="Times New Roman"/>
                <w:sz w:val="24"/>
                <w:szCs w:val="24"/>
              </w:rPr>
              <w:t>人</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调研人次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（2）课</w:t>
            </w:r>
            <w:r>
              <w:rPr>
                <w:rFonts w:hint="default" w:ascii="Times New Roman" w:hAnsi="Times New Roman" w:eastAsia="仿宋_GB2312" w:cs="Times New Roman"/>
                <w:kern w:val="0"/>
                <w:sz w:val="24"/>
                <w:szCs w:val="24"/>
              </w:rPr>
              <w:t>外育</w:t>
            </w:r>
            <w:r>
              <w:rPr>
                <w:rFonts w:hint="default" w:ascii="Times New Roman" w:hAnsi="Times New Roman" w:eastAsia="仿宋_GB2312" w:cs="Times New Roman"/>
                <w:sz w:val="24"/>
                <w:szCs w:val="24"/>
              </w:rPr>
              <w:t>人</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调研人次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938" w:type="pct"/>
            <w:gridSpan w:val="6"/>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课程教学满意度—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（1）思想政治课</w:t>
            </w:r>
            <w:r>
              <w:rPr>
                <w:rFonts w:hint="eastAsia" w:ascii="Times New Roman" w:hAnsi="Times New Roman" w:eastAsia="仿宋_GB2312" w:cs="Times New Roman"/>
                <w:sz w:val="24"/>
                <w:szCs w:val="24"/>
                <w:lang w:val="en-US" w:eastAsia="zh-CN"/>
              </w:rPr>
              <w:t>教学</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调研课次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（2）公共基础课（不含思想政治课）</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调研课次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（3）专业课教学</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调研课次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课次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938" w:type="pct"/>
            <w:gridSpan w:val="6"/>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管理和服务工作满意度—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（1）学生工作</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调研人次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（2）教学管理</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调研人次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（3）后勤服务</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调研人次</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人次</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1041" w:type="pct"/>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790" w:type="pct"/>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学生参与志愿者活动时间</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人日</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p>
        </w:tc>
        <w:tc>
          <w:tcPr>
            <w:tcW w:w="219" w:type="pct"/>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938" w:type="pct"/>
            <w:gridSpan w:val="6"/>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学生社团参与度—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219" w:type="pct"/>
            <w:vMerge w:val="continue"/>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1790" w:type="pct"/>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（1）学生社团数</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color w:val="FF0000"/>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446" w:type="pct"/>
            <w:vMerge w:val="continue"/>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219" w:type="pct"/>
            <w:vMerge w:val="continue"/>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1790" w:type="pct"/>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（2）参与各社团的学生人数</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仿宋_GB2312" w:cs="Times New Roman"/>
                <w:color w:val="FF0000"/>
                <w:sz w:val="24"/>
                <w:szCs w:val="24"/>
              </w:rPr>
            </w:pPr>
          </w:p>
        </w:tc>
        <w:tc>
          <w:tcPr>
            <w:tcW w:w="518"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c>
          <w:tcPr>
            <w:tcW w:w="665"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sz w:val="24"/>
                <w:szCs w:val="24"/>
              </w:rPr>
            </w:pPr>
          </w:p>
        </w:tc>
      </w:tr>
    </w:tbl>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四、“教学资源表”指标及相关内涵说明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“教学资源表”系反映高等职业学校基本办学条件的管理评价工具。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生师比</w:t>
      </w:r>
      <w:r>
        <w:rPr>
          <w:rFonts w:hint="eastAsia" w:ascii="仿宋_GB2312" w:hAnsi="仿宋_GB2312" w:eastAsia="仿宋_GB2312" w:cs="仿宋_GB2312"/>
          <w:sz w:val="32"/>
          <w:szCs w:val="32"/>
          <w:lang w:val="en-US" w:eastAsia="zh-CN"/>
        </w:rPr>
        <w:t>:全日制</w:t>
      </w:r>
      <w:r>
        <w:rPr>
          <w:rFonts w:hint="eastAsia" w:ascii="Times New Roman" w:hAnsi="Times New Roman" w:eastAsia="仿宋_GB2312" w:cs="Times New Roman"/>
          <w:sz w:val="32"/>
          <w:szCs w:val="32"/>
          <w:lang w:val="en-US" w:eastAsia="zh-CN"/>
        </w:rPr>
        <w:t>在校生数与教师总数之比。</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双师素质专任教师比例</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双师素质专任教师人数/专任教师数*100%。</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bCs/>
          <w:sz w:val="32"/>
          <w:szCs w:val="32"/>
          <w:lang w:val="en-US" w:eastAsia="zh-CN"/>
        </w:rPr>
        <w:t>高级专业技术职务专任教师比例</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具有副高及以上专业技术职务专任教师人数/专任教师数*100%。</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教学计划内课程总数</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指按照专业人才培养方案要求开设的课程总量，按学年填报，须与“高等职业院校人才培养工作状态数据”一致。其中，</w:t>
      </w:r>
      <w:r>
        <w:rPr>
          <w:rFonts w:hint="eastAsia" w:ascii="Times New Roman" w:hAnsi="Times New Roman" w:eastAsia="仿宋_GB2312" w:cs="Times New Roman"/>
          <w:b/>
          <w:bCs/>
          <w:sz w:val="32"/>
          <w:szCs w:val="32"/>
          <w:lang w:val="en-US" w:eastAsia="zh-CN"/>
        </w:rPr>
        <w:t>线上开设课程数</w:t>
      </w:r>
      <w:r>
        <w:rPr>
          <w:rFonts w:hint="eastAsia" w:ascii="Times New Roman" w:hAnsi="Times New Roman" w:eastAsia="仿宋_GB2312" w:cs="Times New Roman"/>
          <w:sz w:val="32"/>
          <w:szCs w:val="32"/>
          <w:lang w:val="en-US" w:eastAsia="zh-CN"/>
        </w:rPr>
        <w:t>指按照专业人才培养方案要求，拥有数字化教学资源，通过学校网络教学平台开展授课、答疑、讨论以及提交作业和下载课件等基本教学活动的网络课程门数，建有课程网站但不完全符合上述条件的课程，不能计入线上开设课程。</w:t>
      </w:r>
      <w:r>
        <w:rPr>
          <w:rFonts w:hint="eastAsia" w:ascii="Times New Roman" w:hAnsi="Times New Roman" w:eastAsia="仿宋_GB2312" w:cs="Times New Roman"/>
          <w:b/>
          <w:bCs/>
          <w:sz w:val="32"/>
          <w:szCs w:val="32"/>
          <w:lang w:val="en-US" w:eastAsia="zh-CN"/>
        </w:rPr>
        <w:t>线上课程课均学生数</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选择每门课程的学生累加数/线上开设课程数*100%。</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bCs/>
          <w:sz w:val="32"/>
          <w:szCs w:val="32"/>
          <w:lang w:val="en-US" w:eastAsia="zh-CN"/>
        </w:rPr>
        <w:t>校园网主干最大带宽</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指院校内部局域网络环境主干带宽，通常分为10Mbps、100Mbps、1000Mbps、10000Mbps。</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b/>
          <w:bCs/>
          <w:sz w:val="32"/>
          <w:szCs w:val="32"/>
          <w:lang w:val="en-US" w:eastAsia="zh-CN"/>
        </w:rPr>
        <w:t>生均校内实践教学工位数</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校内实践教学工位总数/在校生数*100%。其中，工位数以“高等职业院校人才培养工作状态数据”填报数为准。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b/>
          <w:bCs/>
          <w:sz w:val="32"/>
          <w:szCs w:val="32"/>
          <w:lang w:val="en-US" w:eastAsia="zh-CN"/>
        </w:rPr>
        <w:t>生均教学科研仪器设备值</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指学校教学仪器设备总资产值与在校生总数之比。教学仪器设备总资产值是指学校固定资产中用于教学、实验、实习、科研等仪器设备的资产值。统计截止时点以财政年度为准。</w:t>
      </w:r>
    </w:p>
    <w:p>
      <w:pPr>
        <w:jc w:val="center"/>
        <w:rPr>
          <w:rFonts w:hint="default" w:ascii="Times New Roman" w:hAnsi="Times New Roman" w:eastAsia="仿宋_GB2312" w:cs="Times New Roman"/>
          <w:sz w:val="24"/>
          <w:szCs w:val="24"/>
        </w:rPr>
      </w:pPr>
      <w:r>
        <w:rPr>
          <w:rFonts w:hint="eastAsia" w:ascii="黑体" w:hAnsi="黑体" w:eastAsia="黑体" w:cs="黑体"/>
          <w:sz w:val="24"/>
          <w:szCs w:val="24"/>
        </w:rPr>
        <w:t xml:space="preserve">表3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教学资源表</w:t>
      </w:r>
    </w:p>
    <w:tbl>
      <w:tblPr>
        <w:tblStyle w:val="6"/>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59"/>
        <w:gridCol w:w="1244"/>
        <w:gridCol w:w="1346"/>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序号</w:t>
            </w:r>
          </w:p>
        </w:tc>
        <w:tc>
          <w:tcPr>
            <w:tcW w:w="2234" w:type="pct"/>
            <w:noWrap/>
            <w:vAlign w:val="center"/>
          </w:tcPr>
          <w:p>
            <w:pPr>
              <w:widowControl/>
              <w:adjustRightInd w:val="0"/>
              <w:snapToGrid w:val="0"/>
              <w:jc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指标</w:t>
            </w:r>
          </w:p>
        </w:tc>
        <w:tc>
          <w:tcPr>
            <w:tcW w:w="739" w:type="pct"/>
            <w:vAlign w:val="center"/>
          </w:tcPr>
          <w:p>
            <w:pPr>
              <w:widowControl/>
              <w:adjustRightInd w:val="0"/>
              <w:snapToGrid w:val="0"/>
              <w:jc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单位</w:t>
            </w:r>
          </w:p>
        </w:tc>
        <w:tc>
          <w:tcPr>
            <w:tcW w:w="800" w:type="pct"/>
            <w:noWrap/>
            <w:vAlign w:val="center"/>
          </w:tcPr>
          <w:p>
            <w:pPr>
              <w:widowControl/>
              <w:adjustRightInd w:val="0"/>
              <w:snapToGrid w:val="0"/>
              <w:jc w:val="center"/>
              <w:rPr>
                <w:rFonts w:hint="default" w:ascii="Times New Roman" w:hAnsi="Times New Roman" w:eastAsia="仿宋_GB2312" w:cs="Times New Roman"/>
                <w:b/>
                <w:bCs/>
                <w:color w:val="auto"/>
                <w:kern w:val="0"/>
                <w:sz w:val="24"/>
                <w:szCs w:val="24"/>
                <w:lang w:val="en-US" w:eastAsia="zh-CN"/>
              </w:rPr>
            </w:pPr>
            <w:r>
              <w:rPr>
                <w:rFonts w:hint="default" w:ascii="Times New Roman" w:hAnsi="Times New Roman" w:eastAsia="仿宋_GB2312" w:cs="Times New Roman"/>
                <w:b/>
                <w:bCs/>
                <w:color w:val="auto"/>
                <w:kern w:val="0"/>
                <w:sz w:val="24"/>
                <w:szCs w:val="24"/>
                <w:lang w:val="en-US" w:eastAsia="zh-CN"/>
              </w:rPr>
              <w:t>2020年</w:t>
            </w:r>
          </w:p>
        </w:tc>
        <w:tc>
          <w:tcPr>
            <w:tcW w:w="740" w:type="pct"/>
            <w:vAlign w:val="center"/>
          </w:tcPr>
          <w:p>
            <w:pPr>
              <w:widowControl/>
              <w:adjustRightInd w:val="0"/>
              <w:snapToGrid w:val="0"/>
              <w:jc w:val="center"/>
              <w:rPr>
                <w:rFonts w:hint="default" w:ascii="Times New Roman" w:hAnsi="Times New Roman" w:eastAsia="仿宋_GB2312" w:cs="Times New Roman"/>
                <w:b/>
                <w:bCs/>
                <w:color w:val="auto"/>
                <w:kern w:val="0"/>
                <w:sz w:val="24"/>
                <w:szCs w:val="24"/>
                <w:lang w:val="en-US" w:eastAsia="zh-CN"/>
              </w:rPr>
            </w:pPr>
            <w:r>
              <w:rPr>
                <w:rFonts w:hint="default" w:ascii="Times New Roman" w:hAnsi="Times New Roman" w:eastAsia="仿宋_GB2312" w:cs="Times New Roman"/>
                <w:b/>
                <w:bCs/>
                <w:color w:val="auto"/>
                <w:kern w:val="0"/>
                <w:sz w:val="24"/>
                <w:szCs w:val="24"/>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1</w:t>
            </w:r>
          </w:p>
        </w:tc>
        <w:tc>
          <w:tcPr>
            <w:tcW w:w="2234"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生师比</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w:t>
            </w:r>
          </w:p>
        </w:tc>
        <w:tc>
          <w:tcPr>
            <w:tcW w:w="800"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lang w:val="en-US" w:eastAsia="zh-CN" w:bidi="ar-SA"/>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双师素质专任教师比例</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800"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高级专业技术职务专任教师比例</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800"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vMerge w:val="restar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2234" w:type="pct"/>
            <w:noWrap/>
            <w:vAlign w:val="center"/>
          </w:tcPr>
          <w:p>
            <w:pPr>
              <w:widowControl/>
              <w:adjustRightInd w:val="0"/>
              <w:snapToGrid w:val="0"/>
              <w:jc w:val="both"/>
              <w:rPr>
                <w:rFonts w:hint="default" w:ascii="Times New Roman" w:hAnsi="Times New Roman" w:eastAsia="仿宋_GB2312" w:cs="Times New Roman"/>
                <w:strike/>
                <w:color w:val="auto"/>
                <w:kern w:val="0"/>
                <w:sz w:val="24"/>
                <w:szCs w:val="24"/>
                <w:lang w:val="en-US" w:eastAsia="zh-CN"/>
              </w:rPr>
            </w:pPr>
            <w:r>
              <w:rPr>
                <w:rFonts w:hint="eastAsia" w:ascii="Times New Roman" w:hAnsi="Times New Roman" w:eastAsia="仿宋_GB2312" w:cs="Times New Roman"/>
                <w:strike w:val="0"/>
                <w:color w:val="auto"/>
                <w:kern w:val="0"/>
                <w:sz w:val="24"/>
                <w:szCs w:val="24"/>
                <w:lang w:val="en-US" w:eastAsia="zh-CN"/>
              </w:rPr>
              <w:t>教学计划内课程总数</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学时</w:t>
            </w:r>
          </w:p>
        </w:tc>
        <w:tc>
          <w:tcPr>
            <w:tcW w:w="800"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vMerge w:val="continue"/>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2234" w:type="pct"/>
            <w:noWrap/>
            <w:vAlign w:val="center"/>
          </w:tcPr>
          <w:p>
            <w:pPr>
              <w:widowControl/>
              <w:adjustRightInd w:val="0"/>
              <w:snapToGrid w:val="0"/>
              <w:ind w:firstLine="480" w:firstLineChars="200"/>
              <w:jc w:val="both"/>
              <w:rPr>
                <w:rFonts w:hint="default" w:ascii="Times New Roman" w:hAnsi="Times New Roman" w:eastAsia="仿宋_GB2312" w:cs="Times New Roman"/>
                <w:strike/>
                <w:color w:val="auto"/>
                <w:kern w:val="0"/>
                <w:sz w:val="24"/>
                <w:szCs w:val="24"/>
                <w:lang w:val="en-US" w:eastAsia="zh-CN"/>
              </w:rPr>
            </w:pPr>
            <w:r>
              <w:rPr>
                <w:rFonts w:hint="default" w:ascii="Times New Roman" w:hAnsi="Times New Roman" w:eastAsia="仿宋_GB2312" w:cs="Times New Roman"/>
                <w:color w:val="auto"/>
                <w:kern w:val="0"/>
                <w:sz w:val="24"/>
                <w:szCs w:val="24"/>
              </w:rPr>
              <w:t>其中：</w:t>
            </w:r>
            <w:r>
              <w:rPr>
                <w:rFonts w:hint="eastAsia" w:ascii="Times New Roman" w:hAnsi="Times New Roman" w:eastAsia="仿宋_GB2312" w:cs="Times New Roman"/>
                <w:color w:val="auto"/>
                <w:kern w:val="0"/>
                <w:sz w:val="24"/>
                <w:szCs w:val="24"/>
                <w:lang w:val="en-US" w:eastAsia="zh-CN"/>
              </w:rPr>
              <w:t>线上开设课程数</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学时</w:t>
            </w:r>
          </w:p>
        </w:tc>
        <w:tc>
          <w:tcPr>
            <w:tcW w:w="800"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vMerge w:val="continue"/>
            <w:noWrap/>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线上课程课均学生数</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学时</w:t>
            </w:r>
          </w:p>
        </w:tc>
        <w:tc>
          <w:tcPr>
            <w:tcW w:w="80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校园网主干最大带宽</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Mbps</w:t>
            </w:r>
          </w:p>
        </w:tc>
        <w:tc>
          <w:tcPr>
            <w:tcW w:w="80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w:t>
            </w: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校园网出口带宽</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Mbps</w:t>
            </w:r>
          </w:p>
        </w:tc>
        <w:tc>
          <w:tcPr>
            <w:tcW w:w="800" w:type="pct"/>
            <w:vAlign w:val="center"/>
          </w:tcPr>
          <w:p>
            <w:pPr>
              <w:widowControl/>
              <w:adjustRightInd w:val="0"/>
              <w:snapToGrid w:val="0"/>
              <w:jc w:val="center"/>
              <w:rPr>
                <w:rFonts w:hint="default" w:ascii="Times New Roman" w:hAnsi="Times New Roman" w:eastAsia="仿宋_GB2312" w:cs="Times New Roman"/>
                <w:color w:val="auto"/>
                <w:kern w:val="0"/>
                <w:sz w:val="24"/>
                <w:szCs w:val="24"/>
                <w:highlight w:val="yellow"/>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生均校内实践教学工位数</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个/生</w:t>
            </w:r>
          </w:p>
        </w:tc>
        <w:tc>
          <w:tcPr>
            <w:tcW w:w="800"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6" w:type="pct"/>
            <w:noWrap/>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2234" w:type="pct"/>
            <w:noWrap/>
            <w:vAlign w:val="center"/>
          </w:tcPr>
          <w:p>
            <w:pPr>
              <w:widowControl/>
              <w:adjustRightInd w:val="0"/>
              <w:snapToGrid w:val="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生均教学科研仪器设备值</w:t>
            </w:r>
          </w:p>
        </w:tc>
        <w:tc>
          <w:tcPr>
            <w:tcW w:w="739" w:type="pct"/>
            <w:vAlign w:val="center"/>
          </w:tcPr>
          <w:p>
            <w:pPr>
              <w:widowControl/>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元/生</w:t>
            </w:r>
          </w:p>
        </w:tc>
        <w:tc>
          <w:tcPr>
            <w:tcW w:w="800" w:type="pct"/>
            <w:vAlign w:val="center"/>
          </w:tcPr>
          <w:p>
            <w:pPr>
              <w:widowControl/>
              <w:adjustRightInd w:val="0"/>
              <w:snapToGrid w:val="0"/>
              <w:jc w:val="center"/>
              <w:rPr>
                <w:rFonts w:hint="default" w:ascii="Times New Roman" w:hAnsi="Times New Roman" w:eastAsia="仿宋_GB2312" w:cs="Times New Roman"/>
                <w:color w:val="auto"/>
                <w:kern w:val="0"/>
                <w:sz w:val="24"/>
                <w:szCs w:val="28"/>
              </w:rPr>
            </w:pPr>
          </w:p>
        </w:tc>
        <w:tc>
          <w:tcPr>
            <w:tcW w:w="740" w:type="pct"/>
            <w:vAlign w:val="center"/>
          </w:tcPr>
          <w:p>
            <w:pPr>
              <w:widowControl/>
              <w:adjustRightInd w:val="0"/>
              <w:snapToGrid w:val="0"/>
              <w:jc w:val="center"/>
              <w:rPr>
                <w:rFonts w:hint="default" w:ascii="Times New Roman" w:hAnsi="Times New Roman" w:eastAsia="仿宋_GB2312" w:cs="Times New Roman"/>
                <w:color w:val="auto"/>
                <w:kern w:val="0"/>
                <w:sz w:val="28"/>
                <w:szCs w:val="28"/>
                <w:highlight w:val="yellow"/>
              </w:rPr>
            </w:pPr>
          </w:p>
        </w:tc>
      </w:tr>
    </w:tbl>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五、“国际影响表”指标及相关内涵说明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“国际影响表”系反映高等职业学校国际合作和发挥影响力的管理评价工具。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全日制国（境）外留学生人数（一年以上）</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指学校接收一年以上全日制教育的国（境）外留学生总数。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非全日制国（境）外人员培训量</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指学校对国（境）外人员开展的各类培训项目的人日总量。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bCs/>
          <w:sz w:val="32"/>
          <w:szCs w:val="32"/>
          <w:lang w:val="en-US" w:eastAsia="zh-CN"/>
        </w:rPr>
        <w:t>在校生服务“走出去”企业国（境）外实习时间</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指在校学生服务中国企业到国（境）外进行专业实践教学的时间。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专任教师赴国（境）外指导和开展培训时间</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指学校专任教师到国（境）外进行专业实践教学指导、培训人员、技术服务和研发的时间。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bCs/>
          <w:sz w:val="32"/>
          <w:szCs w:val="32"/>
          <w:lang w:val="en-US" w:eastAsia="zh-CN"/>
        </w:rPr>
        <w:t>在国（境）外组织担任职务的专任教师人数</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指在境外团体或国际机构中担任专职或兼职工作的专任教师数量。须在备注中逐一列出，否则数据无效。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b/>
          <w:bCs/>
          <w:sz w:val="32"/>
          <w:szCs w:val="32"/>
          <w:lang w:val="en-US" w:eastAsia="zh-CN"/>
        </w:rPr>
        <w:t>开发并被国（境）外采用的课程标准数</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指学校主持或参与开发与本校重点专业相关的专业教学标准和课程标准并得到国（境）外2个及以上国家（或地区）同行采用的数量。须在备注中逐一列出，否则数据无效。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b/>
          <w:bCs/>
          <w:sz w:val="32"/>
          <w:szCs w:val="32"/>
          <w:lang w:val="en-US" w:eastAsia="zh-CN"/>
        </w:rPr>
        <w:t>国（境）外技能大赛获奖数量</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指学校师生在与专业教学相关的国（境）外技能大赛中获得奖项的总个数，包括在国内举办的国际技能大赛上所获奖项。须在备注中逐一列出，否则数据无效。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b/>
          <w:bCs/>
          <w:sz w:val="32"/>
          <w:szCs w:val="32"/>
          <w:lang w:val="en-US" w:eastAsia="zh-CN"/>
        </w:rPr>
        <w:t>国际合作科研平台数</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指学校与国（境）外机构联合建立的科研机构，如科研院所、研究中心、联合实验室、研究联盟、研创工作坊等。</w:t>
      </w:r>
    </w:p>
    <w:p>
      <w:pPr>
        <w:widowControl/>
        <w:snapToGrid w:val="0"/>
        <w:spacing w:after="157" w:afterLines="5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表4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国际影响表</w:t>
      </w:r>
    </w:p>
    <w:tbl>
      <w:tblPr>
        <w:tblStyle w:val="5"/>
        <w:tblW w:w="10504" w:type="dxa"/>
        <w:jc w:val="center"/>
        <w:tblLayout w:type="fixed"/>
        <w:tblCellMar>
          <w:top w:w="0" w:type="dxa"/>
          <w:left w:w="108" w:type="dxa"/>
          <w:bottom w:w="0" w:type="dxa"/>
          <w:right w:w="108" w:type="dxa"/>
        </w:tblCellMar>
      </w:tblPr>
      <w:tblGrid>
        <w:gridCol w:w="788"/>
        <w:gridCol w:w="788"/>
        <w:gridCol w:w="452"/>
        <w:gridCol w:w="2315"/>
        <w:gridCol w:w="709"/>
        <w:gridCol w:w="1078"/>
        <w:gridCol w:w="1080"/>
        <w:gridCol w:w="3294"/>
      </w:tblGrid>
      <w:tr>
        <w:tblPrEx>
          <w:tblCellMar>
            <w:top w:w="0" w:type="dxa"/>
            <w:left w:w="108" w:type="dxa"/>
            <w:bottom w:w="0" w:type="dxa"/>
            <w:right w:w="108" w:type="dxa"/>
          </w:tblCellMar>
        </w:tblPrEx>
        <w:trPr>
          <w:trHeight w:val="732"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院校代码</w:t>
            </w:r>
          </w:p>
        </w:tc>
        <w:tc>
          <w:tcPr>
            <w:tcW w:w="78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院校名称</w:t>
            </w:r>
          </w:p>
        </w:tc>
        <w:tc>
          <w:tcPr>
            <w:tcW w:w="276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指标</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单位</w:t>
            </w:r>
          </w:p>
        </w:tc>
        <w:tc>
          <w:tcPr>
            <w:tcW w:w="10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2020年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2021年</w:t>
            </w:r>
          </w:p>
        </w:tc>
        <w:tc>
          <w:tcPr>
            <w:tcW w:w="329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备注</w:t>
            </w:r>
          </w:p>
        </w:tc>
      </w:tr>
      <w:tr>
        <w:tblPrEx>
          <w:tblCellMar>
            <w:top w:w="0" w:type="dxa"/>
            <w:left w:w="108" w:type="dxa"/>
            <w:bottom w:w="0" w:type="dxa"/>
            <w:right w:w="108" w:type="dxa"/>
          </w:tblCellMar>
        </w:tblPrEx>
        <w:trPr>
          <w:trHeight w:val="456" w:hRule="atLeast"/>
          <w:jc w:val="center"/>
        </w:trPr>
        <w:tc>
          <w:tcPr>
            <w:tcW w:w="788"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788"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45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全日制国（境）外留学生人数（一年以上）</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color w:val="auto"/>
                <w:kern w:val="0"/>
                <w:sz w:val="24"/>
                <w:szCs w:val="24"/>
              </w:rPr>
              <w:t>非全日制国（境）外人员培训量</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人日</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在校生服务“走出去”企业国（境）外实习时间</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人日</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专任教师赴国（境）外指导和开展培训时间</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人日</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在国（境）外组织担任职务的专任教师人数</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tcBorders>
              <w:top w:val="nil"/>
              <w:left w:val="nil"/>
              <w:bottom w:val="single" w:color="auto" w:sz="4" w:space="0"/>
              <w:right w:val="single" w:color="auto" w:sz="4" w:space="0"/>
            </w:tcBorders>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填报格式：××（姓名）在××（组织名），担任××职务；须逐一列出，否则数据无效。</w:t>
            </w: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vMerge w:val="restart"/>
            <w:tcBorders>
              <w:top w:val="nil"/>
              <w:left w:val="nil"/>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开发并被国（境）外采用的专业教学标准数</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个</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vMerge w:val="restart"/>
            <w:tcBorders>
              <w:top w:val="nil"/>
              <w:left w:val="nil"/>
              <w:right w:val="single" w:color="auto" w:sz="4" w:space="0"/>
            </w:tcBorders>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填报格式：开发××标准被××、××采用（该标准须被2个及以上国家或地区同行所采用）；须逐一列出，否则数据无效。</w:t>
            </w: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vMerge w:val="continue"/>
            <w:tcBorders>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开发并被国（境）外采用的课程标准数</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个</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vMerge w:val="continue"/>
            <w:tcBorders>
              <w:left w:val="nil"/>
              <w:bottom w:val="single" w:color="auto" w:sz="4" w:space="0"/>
              <w:right w:val="single" w:color="auto" w:sz="4" w:space="0"/>
            </w:tcBorders>
          </w:tcPr>
          <w:p>
            <w:pPr>
              <w:widowControl/>
              <w:spacing w:line="30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5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tcBorders>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231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国（境）外技能大赛获奖数量</w:t>
            </w:r>
          </w:p>
        </w:tc>
        <w:tc>
          <w:tcPr>
            <w:tcW w:w="70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w:t>
            </w:r>
          </w:p>
        </w:tc>
        <w:tc>
          <w:tcPr>
            <w:tcW w:w="1078"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仿宋_GB2312" w:cs="Times New Roman"/>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s="Times New Roman"/>
                <w:kern w:val="0"/>
                <w:sz w:val="24"/>
                <w:szCs w:val="24"/>
              </w:rPr>
            </w:pPr>
          </w:p>
        </w:tc>
        <w:tc>
          <w:tcPr>
            <w:tcW w:w="3294" w:type="dxa"/>
            <w:tcBorders>
              <w:left w:val="nil"/>
              <w:bottom w:val="single" w:color="auto" w:sz="4" w:space="0"/>
              <w:right w:val="single" w:color="auto" w:sz="4" w:space="0"/>
            </w:tcBorders>
          </w:tcPr>
          <w:p>
            <w:pPr>
              <w:widowControl/>
              <w:spacing w:line="3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填报格式：××（姓名）在××（大赛名），获××奖；须逐一列出，否则数据无效。</w:t>
            </w:r>
          </w:p>
        </w:tc>
      </w:tr>
      <w:tr>
        <w:tblPrEx>
          <w:tblCellMar>
            <w:top w:w="0" w:type="dxa"/>
            <w:left w:w="108" w:type="dxa"/>
            <w:bottom w:w="0" w:type="dxa"/>
            <w:right w:w="108" w:type="dxa"/>
          </w:tblCellMar>
        </w:tblPrEx>
        <w:trPr>
          <w:trHeight w:val="692"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7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仿宋_GB2312" w:cs="Times New Roman"/>
                <w:kern w:val="0"/>
                <w:sz w:val="24"/>
                <w:szCs w:val="24"/>
              </w:rPr>
            </w:pPr>
          </w:p>
        </w:tc>
        <w:tc>
          <w:tcPr>
            <w:tcW w:w="452" w:type="dxa"/>
            <w:tcBorders>
              <w:left w:val="nil"/>
              <w:bottom w:val="single" w:color="auto" w:sz="4" w:space="0"/>
              <w:right w:val="single" w:color="auto" w:sz="4" w:space="0"/>
            </w:tcBorders>
            <w:noWrap/>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2315" w:type="dxa"/>
            <w:tcBorders>
              <w:top w:val="nil"/>
              <w:left w:val="nil"/>
              <w:bottom w:val="single" w:color="auto" w:sz="4" w:space="0"/>
              <w:right w:val="single" w:color="auto" w:sz="4" w:space="0"/>
            </w:tcBorders>
            <w:noWrap/>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国际合作科研平台数</w:t>
            </w:r>
          </w:p>
        </w:tc>
        <w:tc>
          <w:tcPr>
            <w:tcW w:w="709" w:type="dxa"/>
            <w:tcBorders>
              <w:top w:val="nil"/>
              <w:left w:val="nil"/>
              <w:bottom w:val="single" w:color="auto" w:sz="4" w:space="0"/>
              <w:right w:val="single" w:color="auto" w:sz="4" w:space="0"/>
            </w:tcBorders>
            <w:noWrap/>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w:t>
            </w:r>
          </w:p>
        </w:tc>
        <w:tc>
          <w:tcPr>
            <w:tcW w:w="107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080"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sz w:val="24"/>
                <w:szCs w:val="24"/>
              </w:rPr>
            </w:pPr>
          </w:p>
        </w:tc>
        <w:tc>
          <w:tcPr>
            <w:tcW w:w="3294" w:type="dxa"/>
            <w:tcBorders>
              <w:left w:val="nil"/>
              <w:bottom w:val="single" w:color="auto" w:sz="4" w:space="0"/>
              <w:right w:val="single" w:color="auto" w:sz="4" w:space="0"/>
            </w:tcBorders>
            <w:vAlign w:val="center"/>
          </w:tcPr>
          <w:p>
            <w:pPr>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kern w:val="0"/>
                <w:sz w:val="24"/>
                <w:szCs w:val="24"/>
              </w:rPr>
              <w:t>填报格式：××（平台名称）成立于×年×月；须逐一列出，否则数据无效。</w:t>
            </w:r>
          </w:p>
        </w:tc>
      </w:tr>
    </w:tbl>
    <w:p>
      <w:pPr>
        <w:spacing w:line="14" w:lineRule="exact"/>
      </w:pPr>
    </w:p>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六、“服务贡献表”指标及相关内涵说明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“服务贡献表”系反映高等职业学校服务地方和行业发展的管理评价工具。</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毕业生就业去向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类是毕业生留在当地（公办学校：如省级财政投入经费的以省域为“当地”，地级财政投入经费的以地级市域为“当地”，以此类推；民办学校的以学校所在地为“当地”；如有异地校区则分别统计）就业人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类是毕业生去西部地区和东北老工业基地就业人数（西部地区包括四川、重庆、贵州、云南、西藏、陕西、甘肃、青海、宁夏、新疆、广西、内蒙古等12个省份；东北老工业基地包括辽宁、吉林、黑龙江等3个省份）；</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C类是毕业生到中小微企业（具体标准参见《关于印发中小企业划型标准规定的通知》（工信部联企业〔2011〕300号））服务人数；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D类是毕业生到500强企业（指在过去5年曾经是世界500强或中国企业500强的企业）就业人数。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各高等职业学校根据实际分别填写以上四类，各地在本省质量年报中可汇总分析以上四类情况。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横向技术服务到款额</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指以学校名义与自然人、法人、其他组织签订的技术开发、技术服务、技术咨询、技术转让等技术合同所涉及的经费；国际科技合作项目中与境外企业、个人合作经费及科技捐赠项目经费。</w:t>
      </w:r>
      <w:r>
        <w:rPr>
          <w:rFonts w:hint="eastAsia" w:ascii="Times New Roman" w:hAnsi="Times New Roman" w:eastAsia="仿宋_GB2312" w:cs="Times New Roman"/>
          <w:b/>
          <w:bCs/>
          <w:sz w:val="32"/>
          <w:szCs w:val="32"/>
          <w:lang w:val="en-US" w:eastAsia="zh-CN"/>
        </w:rPr>
        <w:t>横向技术服务产生的经济效益</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指学校为上述自然人、法人、其他组织提供相关服务以及国际科技合作项目中所产生的经济效益，由企业出具证明，并加盖财务章。统计截止时间以财政年度为准。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bCs/>
          <w:sz w:val="32"/>
          <w:szCs w:val="32"/>
          <w:lang w:val="en-US" w:eastAsia="zh-CN"/>
        </w:rPr>
        <w:t>纵向科研经费到款额</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指通过承担</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"http://wiki.mbalib.com/wiki/%E5%9B%BD%E5%AE%B6" \o "国家"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国家</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、地方政府常设的</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"http://wiki.mbalib.com/wiki/%E8%AE%A1%E5%88%92" \o "计划"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计划</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"http://wiki.mbalib.com/wiki/%E9%A1%B9%E7%9B%AE" \o "项目"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或专项项目取得的科研项目经费。统计截止时间以财政年度为准。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技术交易到款额</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指政府或企业通过技术市场购买院校的专利和技术成果、购买技术转让、委托技术研发等支付到账的费用。统计截止时间以财政年度为准。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bCs/>
          <w:sz w:val="32"/>
          <w:szCs w:val="32"/>
          <w:lang w:val="en-US" w:eastAsia="zh-CN"/>
        </w:rPr>
        <w:t>专利申请数量</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指当年经申请并被受理且学校为专利权人的发明专利数量。</w:t>
      </w:r>
      <w:r>
        <w:rPr>
          <w:rFonts w:hint="eastAsia" w:ascii="Times New Roman" w:hAnsi="Times New Roman" w:eastAsia="仿宋_GB2312" w:cs="Times New Roman"/>
          <w:b/>
          <w:bCs/>
          <w:sz w:val="32"/>
          <w:szCs w:val="32"/>
          <w:lang w:val="en-US" w:eastAsia="zh-CN"/>
        </w:rPr>
        <w:t>专利授权数量</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指当年经国家授权且学校为专利权人的发明专利数量。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b/>
          <w:bCs/>
          <w:sz w:val="32"/>
          <w:szCs w:val="32"/>
          <w:lang w:val="en-US" w:eastAsia="zh-CN"/>
        </w:rPr>
        <w:t>专利成果转化数量</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指当年专利以许可、转让和作价入股等形式完成转化实施的数量。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b/>
          <w:bCs/>
          <w:sz w:val="32"/>
          <w:szCs w:val="32"/>
          <w:lang w:val="en-US" w:eastAsia="zh-CN"/>
        </w:rPr>
        <w:t>专利成果转化到款额</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指当年专利以许可、转让和作价入股等形式完成转化</w:t>
      </w:r>
      <w:bookmarkStart w:id="0" w:name="_GoBack"/>
      <w:bookmarkEnd w:id="0"/>
      <w:r>
        <w:rPr>
          <w:rFonts w:hint="eastAsia" w:ascii="Times New Roman" w:hAnsi="Times New Roman" w:eastAsia="仿宋_GB2312" w:cs="Times New Roman"/>
          <w:sz w:val="32"/>
          <w:szCs w:val="32"/>
          <w:lang w:val="en-US" w:eastAsia="zh-CN"/>
        </w:rPr>
        <w:t>实施，通过许可、转让到款额和作价入股金额体现的入账总金额。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8.</w:t>
      </w:r>
      <w:r>
        <w:rPr>
          <w:rFonts w:hint="eastAsia" w:ascii="Times New Roman" w:hAnsi="Times New Roman" w:eastAsia="仿宋_GB2312" w:cs="Times New Roman"/>
          <w:b/>
          <w:bCs/>
          <w:sz w:val="32"/>
          <w:szCs w:val="32"/>
          <w:lang w:val="en-US" w:eastAsia="zh-CN"/>
        </w:rPr>
        <w:t>非学历培训项目数：</w:t>
      </w:r>
      <w:r>
        <w:rPr>
          <w:rFonts w:hint="eastAsia" w:ascii="Times New Roman" w:hAnsi="Times New Roman" w:eastAsia="仿宋_GB2312" w:cs="Times New Roman"/>
          <w:sz w:val="32"/>
          <w:szCs w:val="32"/>
          <w:lang w:val="en-US" w:eastAsia="zh-CN"/>
        </w:rPr>
        <w:t>指针对非学历培训开展的培训项目数，包括以远程在线、集中等开展的培训项目。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9.</w:t>
      </w:r>
      <w:r>
        <w:rPr>
          <w:rFonts w:hint="eastAsia" w:ascii="Times New Roman" w:hAnsi="Times New Roman" w:eastAsia="仿宋_GB2312" w:cs="Times New Roman"/>
          <w:b/>
          <w:bCs/>
          <w:sz w:val="32"/>
          <w:szCs w:val="32"/>
          <w:lang w:val="en-US" w:eastAsia="zh-CN"/>
        </w:rPr>
        <w:t>非学历培训时间</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指学校为社会进行的各类非学历培训项目的总学时数。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b/>
          <w:bCs/>
          <w:sz w:val="32"/>
          <w:szCs w:val="32"/>
          <w:lang w:val="en-US" w:eastAsia="zh-CN"/>
        </w:rPr>
        <w:t>非学历培训到账金额</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指为社会进行的非学历培训实际到款额。统计截止时间以财政年度为准。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b/>
          <w:bCs/>
          <w:sz w:val="32"/>
          <w:szCs w:val="32"/>
          <w:lang w:val="en-US" w:eastAsia="zh-CN"/>
        </w:rPr>
        <w:t>公益性培训服务</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指为社会进行的免费培训的规模，不含针对校内学生和教师的培训。</w:t>
      </w:r>
    </w:p>
    <w:p>
      <w:pPr>
        <w:widowControl/>
        <w:snapToGrid w:val="0"/>
        <w:spacing w:before="157" w:beforeLines="50" w:line="312"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表5</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服务贡献表</w:t>
      </w:r>
    </w:p>
    <w:tbl>
      <w:tblPr>
        <w:tblStyle w:val="5"/>
        <w:tblW w:w="5074" w:type="pct"/>
        <w:jc w:val="center"/>
        <w:tblLayout w:type="fixed"/>
        <w:tblCellMar>
          <w:top w:w="0" w:type="dxa"/>
          <w:left w:w="108" w:type="dxa"/>
          <w:bottom w:w="0" w:type="dxa"/>
          <w:right w:w="108" w:type="dxa"/>
        </w:tblCellMar>
      </w:tblPr>
      <w:tblGrid>
        <w:gridCol w:w="784"/>
        <w:gridCol w:w="733"/>
        <w:gridCol w:w="499"/>
        <w:gridCol w:w="2416"/>
        <w:gridCol w:w="840"/>
        <w:gridCol w:w="1200"/>
        <w:gridCol w:w="1179"/>
        <w:gridCol w:w="1430"/>
      </w:tblGrid>
      <w:tr>
        <w:tblPrEx>
          <w:tblCellMar>
            <w:top w:w="0" w:type="dxa"/>
            <w:left w:w="108" w:type="dxa"/>
            <w:bottom w:w="0" w:type="dxa"/>
            <w:right w:w="108" w:type="dxa"/>
          </w:tblCellMar>
        </w:tblPrEx>
        <w:trPr>
          <w:trHeight w:val="734" w:hRule="atLeast"/>
          <w:jc w:val="center"/>
        </w:trPr>
        <w:tc>
          <w:tcPr>
            <w:tcW w:w="43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院校代码</w:t>
            </w:r>
          </w:p>
        </w:tc>
        <w:tc>
          <w:tcPr>
            <w:tcW w:w="40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院校名称</w:t>
            </w:r>
          </w:p>
        </w:tc>
        <w:tc>
          <w:tcPr>
            <w:tcW w:w="160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指标</w:t>
            </w:r>
          </w:p>
        </w:tc>
        <w:tc>
          <w:tcPr>
            <w:tcW w:w="462"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单位</w:t>
            </w:r>
          </w:p>
        </w:tc>
        <w:tc>
          <w:tcPr>
            <w:tcW w:w="66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2020年</w:t>
            </w:r>
          </w:p>
        </w:tc>
        <w:tc>
          <w:tcPr>
            <w:tcW w:w="64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2021年</w:t>
            </w:r>
          </w:p>
        </w:tc>
        <w:tc>
          <w:tcPr>
            <w:tcW w:w="78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备注</w:t>
            </w:r>
          </w:p>
        </w:tc>
      </w:tr>
      <w:tr>
        <w:tblPrEx>
          <w:tblCellMar>
            <w:top w:w="0" w:type="dxa"/>
            <w:left w:w="108" w:type="dxa"/>
            <w:bottom w:w="0" w:type="dxa"/>
            <w:right w:w="108" w:type="dxa"/>
          </w:tblCellMar>
        </w:tblPrEx>
        <w:trPr>
          <w:trHeight w:val="421" w:hRule="atLeast"/>
          <w:jc w:val="center"/>
        </w:trPr>
        <w:tc>
          <w:tcPr>
            <w:tcW w:w="431" w:type="pct"/>
            <w:vMerge w:val="restart"/>
            <w:tcBorders>
              <w:top w:val="single" w:color="auto" w:sz="4" w:space="0"/>
              <w:left w:val="single" w:color="auto" w:sz="4" w:space="0"/>
              <w:right w:val="single" w:color="auto" w:sz="4" w:space="0"/>
            </w:tcBorders>
            <w:shd w:val="clear" w:color="000000" w:fill="FFFFFF"/>
            <w:vAlign w:val="bottom"/>
          </w:tcPr>
          <w:p>
            <w:pPr>
              <w:rPr>
                <w:rFonts w:hint="default" w:ascii="Times New Roman" w:hAnsi="Times New Roman" w:eastAsia="仿宋_GB2312" w:cs="Times New Roman"/>
                <w:kern w:val="0"/>
                <w:sz w:val="24"/>
                <w:szCs w:val="24"/>
              </w:rPr>
            </w:pPr>
          </w:p>
        </w:tc>
        <w:tc>
          <w:tcPr>
            <w:tcW w:w="403" w:type="pct"/>
            <w:vMerge w:val="restart"/>
            <w:tcBorders>
              <w:top w:val="single" w:color="auto" w:sz="4" w:space="0"/>
              <w:left w:val="single" w:color="auto" w:sz="4" w:space="0"/>
              <w:right w:val="single" w:color="auto" w:sz="4" w:space="0"/>
            </w:tcBorders>
            <w:shd w:val="clear" w:color="000000" w:fill="FFFFFF"/>
            <w:vAlign w:val="bottom"/>
          </w:tcPr>
          <w:p>
            <w:pPr>
              <w:rPr>
                <w:rFonts w:hint="default" w:ascii="Times New Roman" w:hAnsi="Times New Roman" w:eastAsia="仿宋_GB2312" w:cs="Times New Roman"/>
                <w:kern w:val="0"/>
                <w:sz w:val="24"/>
                <w:szCs w:val="24"/>
              </w:rPr>
            </w:pPr>
          </w:p>
        </w:tc>
        <w:tc>
          <w:tcPr>
            <w:tcW w:w="274" w:type="pct"/>
            <w:vMerge w:val="restart"/>
            <w:tcBorders>
              <w:top w:val="single" w:color="auto" w:sz="4" w:space="0"/>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330"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全日制在校生人数</w:t>
            </w:r>
          </w:p>
        </w:tc>
        <w:tc>
          <w:tcPr>
            <w:tcW w:w="462"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single" w:color="auto" w:sz="4" w:space="0"/>
              <w:left w:val="nil"/>
              <w:bottom w:val="single" w:color="auto" w:sz="4" w:space="0"/>
              <w:right w:val="single" w:color="auto" w:sz="4" w:space="0"/>
            </w:tcBorders>
            <w:shd w:val="clear" w:color="000000" w:fill="FFFFFF"/>
            <w:noWrap/>
            <w:vAlign w:val="bottom"/>
          </w:tcPr>
          <w:p>
            <w:pPr>
              <w:widowControl/>
              <w:jc w:val="left"/>
              <w:rPr>
                <w:rFonts w:hint="default" w:ascii="Times New Roman" w:hAnsi="Times New Roman" w:eastAsia="仿宋_GB2312" w:cs="Times New Roman"/>
                <w:color w:val="FF0000"/>
                <w:kern w:val="0"/>
                <w:sz w:val="24"/>
                <w:szCs w:val="24"/>
              </w:rPr>
            </w:pPr>
          </w:p>
        </w:tc>
        <w:tc>
          <w:tcPr>
            <w:tcW w:w="649" w:type="pct"/>
            <w:tcBorders>
              <w:top w:val="single" w:color="auto" w:sz="4" w:space="0"/>
              <w:left w:val="nil"/>
              <w:bottom w:val="single" w:color="auto" w:sz="4" w:space="0"/>
              <w:right w:val="single" w:color="auto" w:sz="4" w:space="0"/>
            </w:tcBorders>
            <w:shd w:val="clear" w:color="000000" w:fill="FFFFFF"/>
            <w:noWrap/>
            <w:vAlign w:val="bottom"/>
          </w:tcPr>
          <w:p>
            <w:pPr>
              <w:widowControl/>
              <w:jc w:val="left"/>
              <w:rPr>
                <w:rFonts w:hint="default" w:ascii="Times New Roman" w:hAnsi="Times New Roman" w:eastAsia="仿宋_GB2312" w:cs="Times New Roman"/>
                <w:kern w:val="0"/>
                <w:sz w:val="24"/>
                <w:szCs w:val="24"/>
              </w:rPr>
            </w:pPr>
          </w:p>
        </w:tc>
        <w:tc>
          <w:tcPr>
            <w:tcW w:w="787" w:type="pct"/>
            <w:tcBorders>
              <w:top w:val="single" w:color="auto" w:sz="4" w:space="0"/>
              <w:left w:val="nil"/>
              <w:bottom w:val="single" w:color="auto" w:sz="4" w:space="0"/>
              <w:right w:val="single" w:color="auto" w:sz="4" w:space="0"/>
            </w:tcBorders>
            <w:shd w:val="clear" w:color="000000" w:fill="FFFFFF"/>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shd w:val="clear" w:color="000000" w:fill="FFFFFF"/>
            <w:vAlign w:val="bottom"/>
          </w:tcPr>
          <w:p>
            <w:pPr>
              <w:widowControl/>
              <w:jc w:val="center"/>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shd w:val="clear" w:color="000000" w:fill="FFFFFF"/>
            <w:vAlign w:val="bottom"/>
          </w:tcPr>
          <w:p>
            <w:pPr>
              <w:widowControl/>
              <w:jc w:val="center"/>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shd w:val="clear" w:color="000000" w:fill="FFFFFF"/>
            <w:vAlign w:val="center"/>
          </w:tcPr>
          <w:p>
            <w:pPr>
              <w:widowControl/>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毕业生人数</w:t>
            </w:r>
          </w:p>
        </w:tc>
        <w:tc>
          <w:tcPr>
            <w:tcW w:w="46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noWrap/>
            <w:vAlign w:val="bottom"/>
          </w:tcPr>
          <w:p>
            <w:pPr>
              <w:widowControl/>
              <w:jc w:val="left"/>
              <w:rPr>
                <w:rFonts w:hint="default" w:ascii="Times New Roman" w:hAnsi="Times New Roman" w:eastAsia="仿宋_GB2312" w:cs="Times New Roman"/>
                <w:color w:val="FF0000"/>
                <w:kern w:val="0"/>
                <w:sz w:val="24"/>
                <w:szCs w:val="24"/>
              </w:rPr>
            </w:pPr>
          </w:p>
        </w:tc>
        <w:tc>
          <w:tcPr>
            <w:tcW w:w="649" w:type="pct"/>
            <w:tcBorders>
              <w:top w:val="nil"/>
              <w:left w:val="nil"/>
              <w:bottom w:val="single" w:color="auto" w:sz="4" w:space="0"/>
              <w:right w:val="single" w:color="auto" w:sz="4" w:space="0"/>
            </w:tcBorders>
            <w:shd w:val="clear" w:color="000000" w:fill="FFFFFF"/>
            <w:noWrap/>
            <w:vAlign w:val="bottom"/>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其中：就业人数</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vAlign w:val="center"/>
          </w:tcPr>
          <w:p>
            <w:pPr>
              <w:widowControl/>
              <w:rPr>
                <w:rFonts w:hint="default" w:ascii="Times New Roman" w:hAnsi="Times New Roman" w:eastAsia="仿宋_GB2312" w:cs="Times New Roman"/>
                <w:color w:val="FF0000"/>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8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毕业生就业去向：</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660"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87" w:type="pct"/>
            <w:tcBorders>
              <w:top w:val="nil"/>
              <w:left w:val="nil"/>
              <w:bottom w:val="single" w:color="auto" w:sz="4" w:space="0"/>
              <w:right w:val="single" w:color="auto" w:sz="4" w:space="0"/>
            </w:tcBorders>
            <w:shd w:val="clear" w:color="000000" w:fill="FFFFFF"/>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714"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A类:留在当地就业人数</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FF0000"/>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724"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B类:到西部地区和东北地区就业人数</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FF0000"/>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674"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C类:到规模以下企业等基层服务人数</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highlight w:val="yellow"/>
              </w:rPr>
            </w:pPr>
          </w:p>
        </w:tc>
        <w:tc>
          <w:tcPr>
            <w:tcW w:w="787" w:type="pct"/>
            <w:vMerge w:val="restart"/>
            <w:tcBorders>
              <w:top w:val="nil"/>
              <w:left w:val="nil"/>
              <w:right w:val="single" w:color="auto" w:sz="4" w:space="0"/>
            </w:tcBorders>
            <w:shd w:val="clear" w:color="000000" w:fill="FFFFFF"/>
          </w:tcPr>
          <w:p>
            <w:pPr>
              <w:widowControl/>
              <w:jc w:val="left"/>
              <w:rPr>
                <w:rFonts w:hint="default" w:ascii="Times New Roman" w:hAnsi="Times New Roman" w:eastAsia="仿宋_GB2312" w:cs="Times New Roman"/>
                <w:color w:val="FF0000"/>
                <w:kern w:val="0"/>
                <w:sz w:val="24"/>
                <w:szCs w:val="24"/>
              </w:rPr>
            </w:pPr>
          </w:p>
        </w:tc>
      </w:tr>
      <w:tr>
        <w:tblPrEx>
          <w:tblCellMar>
            <w:top w:w="0" w:type="dxa"/>
            <w:left w:w="108" w:type="dxa"/>
            <w:bottom w:w="0" w:type="dxa"/>
            <w:right w:w="108" w:type="dxa"/>
          </w:tblCellMar>
        </w:tblPrEx>
        <w:trPr>
          <w:trHeight w:val="684"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D类:到规模以上企业就业人数</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highlight w:val="yellow"/>
              </w:rPr>
            </w:pPr>
          </w:p>
        </w:tc>
        <w:tc>
          <w:tcPr>
            <w:tcW w:w="787" w:type="pct"/>
            <w:vMerge w:val="continue"/>
            <w:tcBorders>
              <w:top w:val="nil"/>
              <w:left w:val="nil"/>
              <w:right w:val="single" w:color="auto" w:sz="4" w:space="0"/>
            </w:tcBorders>
            <w:shd w:val="clear" w:color="000000" w:fill="FFFFFF"/>
          </w:tcPr>
          <w:p>
            <w:pPr>
              <w:widowControl/>
              <w:jc w:val="left"/>
              <w:rPr>
                <w:rFonts w:hint="default" w:ascii="Times New Roman" w:hAnsi="Times New Roman" w:eastAsia="仿宋_GB2312" w:cs="Times New Roman"/>
                <w:color w:val="FF0000"/>
                <w:kern w:val="0"/>
                <w:sz w:val="24"/>
                <w:szCs w:val="24"/>
              </w:rPr>
            </w:pPr>
          </w:p>
        </w:tc>
      </w:tr>
      <w:tr>
        <w:tblPrEx>
          <w:tblCellMar>
            <w:top w:w="0" w:type="dxa"/>
            <w:left w:w="108" w:type="dxa"/>
            <w:bottom w:w="0" w:type="dxa"/>
            <w:right w:w="108" w:type="dxa"/>
          </w:tblCellMar>
        </w:tblPrEx>
        <w:trPr>
          <w:trHeight w:val="724"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其中:到500强企业就业人数</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highlight w:val="yellow"/>
              </w:rPr>
            </w:pPr>
          </w:p>
        </w:tc>
        <w:tc>
          <w:tcPr>
            <w:tcW w:w="787" w:type="pct"/>
            <w:vMerge w:val="continue"/>
            <w:tcBorders>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6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restart"/>
            <w:tcBorders>
              <w:top w:val="nil"/>
              <w:left w:val="nil"/>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横向技术服务到款额</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横向技术服务产生的经济效益</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FF0000"/>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提供产生经济效益的企业出具的证明，并盖财务章。</w:t>
            </w: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纵向科研经费到款额</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技术交易到款额</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color w:val="FF0000"/>
                <w:kern w:val="0"/>
                <w:sz w:val="24"/>
                <w:szCs w:val="24"/>
                <w:highlight w:val="yellow"/>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restart"/>
            <w:tcBorders>
              <w:top w:val="nil"/>
              <w:left w:val="nil"/>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133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专利申请/授权数量</w:t>
            </w:r>
          </w:p>
        </w:tc>
        <w:tc>
          <w:tcPr>
            <w:tcW w:w="462" w:type="pct"/>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项/项</w:t>
            </w:r>
          </w:p>
        </w:tc>
        <w:tc>
          <w:tcPr>
            <w:tcW w:w="660" w:type="pct"/>
            <w:vMerge w:val="restart"/>
            <w:tcBorders>
              <w:top w:val="nil"/>
              <w:left w:val="nil"/>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tcPr>
          <w:p>
            <w:pPr>
              <w:widowControl/>
              <w:adjustRightInd w:val="0"/>
              <w:snapToGrid w:val="0"/>
              <w:jc w:val="left"/>
              <w:rPr>
                <w:rFonts w:hint="default" w:ascii="Times New Roman" w:hAnsi="Times New Roman" w:eastAsia="仿宋_GB2312" w:cs="Times New Roman"/>
                <w:kern w:val="0"/>
                <w:sz w:val="24"/>
                <w:szCs w:val="24"/>
              </w:rPr>
            </w:pPr>
          </w:p>
        </w:tc>
        <w:tc>
          <w:tcPr>
            <w:tcW w:w="787" w:type="pct"/>
            <w:vMerge w:val="restart"/>
            <w:tcBorders>
              <w:top w:val="nil"/>
              <w:left w:val="nil"/>
              <w:right w:val="single" w:color="auto" w:sz="4" w:space="0"/>
            </w:tcBorders>
            <w:shd w:val="clear" w:color="000000" w:fill="FFFFFF"/>
            <w:vAlign w:val="center"/>
          </w:tcPr>
          <w:p>
            <w:pPr>
              <w:adjustRightInd w:val="0"/>
              <w:snapToGrid w:val="0"/>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vMerge w:val="continue"/>
            <w:tcBorders>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p>
        </w:tc>
        <w:tc>
          <w:tcPr>
            <w:tcW w:w="133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其中：发明专利申请/授权数量</w:t>
            </w:r>
          </w:p>
        </w:tc>
        <w:tc>
          <w:tcPr>
            <w:tcW w:w="462" w:type="pct"/>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项/项</w:t>
            </w:r>
          </w:p>
        </w:tc>
        <w:tc>
          <w:tcPr>
            <w:tcW w:w="660" w:type="pct"/>
            <w:vMerge w:val="continue"/>
            <w:tcBorders>
              <w:left w:val="nil"/>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tcPr>
          <w:p>
            <w:pPr>
              <w:widowControl/>
              <w:adjustRightInd w:val="0"/>
              <w:snapToGrid w:val="0"/>
              <w:jc w:val="left"/>
              <w:rPr>
                <w:rFonts w:hint="default" w:ascii="Times New Roman" w:hAnsi="Times New Roman" w:eastAsia="仿宋_GB2312" w:cs="Times New Roman"/>
                <w:kern w:val="0"/>
                <w:sz w:val="24"/>
                <w:szCs w:val="24"/>
              </w:rPr>
            </w:pPr>
          </w:p>
        </w:tc>
        <w:tc>
          <w:tcPr>
            <w:tcW w:w="787" w:type="pct"/>
            <w:vMerge w:val="continue"/>
            <w:tcBorders>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133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专利成果转化数量</w:t>
            </w:r>
          </w:p>
        </w:tc>
        <w:tc>
          <w:tcPr>
            <w:tcW w:w="462" w:type="pct"/>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w:t>
            </w:r>
          </w:p>
        </w:tc>
        <w:tc>
          <w:tcPr>
            <w:tcW w:w="660" w:type="pct"/>
            <w:vMerge w:val="continue"/>
            <w:tcBorders>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tcPr>
          <w:p>
            <w:pPr>
              <w:widowControl/>
              <w:adjustRightInd w:val="0"/>
              <w:snapToGrid w:val="0"/>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133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专利成果转化到款额</w:t>
            </w:r>
          </w:p>
        </w:tc>
        <w:tc>
          <w:tcPr>
            <w:tcW w:w="462" w:type="pct"/>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6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tcPr>
          <w:p>
            <w:pPr>
              <w:widowControl/>
              <w:adjustRightInd w:val="0"/>
              <w:snapToGrid w:val="0"/>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FF0000"/>
                <w:kern w:val="0"/>
                <w:sz w:val="24"/>
                <w:szCs w:val="24"/>
                <w:highlight w:val="yellow"/>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w:t>
            </w:r>
          </w:p>
        </w:tc>
        <w:tc>
          <w:tcPr>
            <w:tcW w:w="133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非学历培训项目数</w:t>
            </w:r>
          </w:p>
        </w:tc>
        <w:tc>
          <w:tcPr>
            <w:tcW w:w="462" w:type="pct"/>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项</w:t>
            </w:r>
          </w:p>
        </w:tc>
        <w:tc>
          <w:tcPr>
            <w:tcW w:w="66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tcPr>
          <w:p>
            <w:pPr>
              <w:widowControl/>
              <w:adjustRightInd w:val="0"/>
              <w:snapToGrid w:val="0"/>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FF0000"/>
                <w:kern w:val="0"/>
                <w:sz w:val="24"/>
                <w:szCs w:val="24"/>
                <w:highlight w:val="yellow"/>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9</w:t>
            </w: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非学历培训</w:t>
            </w:r>
            <w:r>
              <w:rPr>
                <w:rFonts w:hint="eastAsia" w:ascii="Times New Roman" w:hAnsi="Times New Roman" w:eastAsia="仿宋_GB2312" w:cs="Times New Roman"/>
                <w:kern w:val="0"/>
                <w:sz w:val="24"/>
                <w:szCs w:val="24"/>
                <w:lang w:val="en-US" w:eastAsia="zh-CN"/>
              </w:rPr>
              <w:t>时间</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学时</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w:t>
            </w: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非学历培训</w:t>
            </w:r>
            <w:r>
              <w:rPr>
                <w:rFonts w:hint="eastAsia" w:ascii="Times New Roman" w:hAnsi="Times New Roman" w:eastAsia="仿宋_GB2312" w:cs="Times New Roman"/>
                <w:kern w:val="0"/>
                <w:sz w:val="24"/>
                <w:szCs w:val="24"/>
                <w:lang w:val="en-US" w:eastAsia="zh-CN"/>
              </w:rPr>
              <w:t>到账经费</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6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B0F0"/>
                <w:kern w:val="0"/>
                <w:sz w:val="24"/>
                <w:szCs w:val="24"/>
              </w:rPr>
            </w:pPr>
          </w:p>
        </w:tc>
        <w:tc>
          <w:tcPr>
            <w:tcW w:w="649"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21" w:hRule="atLeast"/>
          <w:jc w:val="center"/>
        </w:trPr>
        <w:tc>
          <w:tcPr>
            <w:tcW w:w="431"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27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lang w:val="en-US" w:eastAsia="zh-CN"/>
              </w:rPr>
              <w:t>1</w:t>
            </w:r>
          </w:p>
        </w:tc>
        <w:tc>
          <w:tcPr>
            <w:tcW w:w="1330" w:type="pct"/>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公益性培训服务</w:t>
            </w:r>
          </w:p>
        </w:tc>
        <w:tc>
          <w:tcPr>
            <w:tcW w:w="462" w:type="pct"/>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学时</w:t>
            </w:r>
          </w:p>
        </w:tc>
        <w:tc>
          <w:tcPr>
            <w:tcW w:w="660"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c>
          <w:tcPr>
            <w:tcW w:w="649" w:type="pct"/>
            <w:tcBorders>
              <w:top w:val="nil"/>
              <w:left w:val="nil"/>
              <w:bottom w:val="single" w:color="auto" w:sz="4" w:space="0"/>
              <w:right w:val="single" w:color="auto" w:sz="4" w:space="0"/>
            </w:tcBorders>
            <w:shd w:val="clear" w:color="000000" w:fill="FFFFFF"/>
          </w:tcPr>
          <w:p>
            <w:pPr>
              <w:widowControl/>
              <w:adjustRightInd w:val="0"/>
              <w:snapToGrid w:val="0"/>
              <w:jc w:val="left"/>
              <w:rPr>
                <w:rFonts w:hint="default" w:ascii="Times New Roman" w:hAnsi="Times New Roman" w:eastAsia="仿宋_GB2312" w:cs="Times New Roman"/>
                <w:kern w:val="0"/>
                <w:sz w:val="24"/>
                <w:szCs w:val="24"/>
              </w:rPr>
            </w:pPr>
          </w:p>
        </w:tc>
        <w:tc>
          <w:tcPr>
            <w:tcW w:w="787"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874" w:hRule="atLeast"/>
          <w:jc w:val="center"/>
        </w:trPr>
        <w:tc>
          <w:tcPr>
            <w:tcW w:w="431" w:type="pct"/>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403" w:type="pct"/>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3377" w:type="pct"/>
            <w:gridSpan w:val="5"/>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主要办学经费来源（单选）：省级财政（）   地市级财政（）  区县级财政（）  行业企业（）     其他（）</w:t>
            </w:r>
          </w:p>
        </w:tc>
        <w:tc>
          <w:tcPr>
            <w:tcW w:w="787" w:type="pct"/>
            <w:tcBorders>
              <w:top w:val="nil"/>
              <w:left w:val="nil"/>
              <w:bottom w:val="single" w:color="auto" w:sz="4" w:space="0"/>
              <w:right w:val="single" w:color="auto" w:sz="4" w:space="0"/>
            </w:tcBorders>
            <w:shd w:val="clear" w:color="000000" w:fill="FFFFFF"/>
          </w:tcPr>
          <w:p>
            <w:pPr>
              <w:widowControl/>
              <w:jc w:val="left"/>
              <w:rPr>
                <w:rFonts w:hint="default" w:ascii="Times New Roman" w:hAnsi="Times New Roman" w:eastAsia="仿宋_GB2312" w:cs="Times New Roman"/>
                <w:color w:val="FF0000"/>
                <w:kern w:val="0"/>
                <w:sz w:val="24"/>
                <w:szCs w:val="24"/>
              </w:rPr>
            </w:pPr>
          </w:p>
        </w:tc>
      </w:tr>
    </w:tbl>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七、“落实政策表”指标及相关内涵说明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“落实政策表”系通过院校数据反映政府落实国家发展高职教育政策情况的管理评价工具。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年生均财政拨款水平</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按照《财政部 教育部关于建立完善以改革和绩效为导向的生均拨款制度加快发展现代高等职业教育的意见》（财教〔2014〕352号）要求，“年生均财政拨款水平”指政府收支分类科目“2050305高等职业教育”中，地方财政通过一般公共预算安排用于支持高职院校发展的经费，按全日制高等职业学历教育在校生人数折算的平均水平，包括基本支出和项目支出。其中，</w:t>
      </w:r>
      <w:r>
        <w:rPr>
          <w:rFonts w:hint="eastAsia" w:ascii="Times New Roman" w:hAnsi="Times New Roman" w:eastAsia="仿宋_GB2312" w:cs="Times New Roman"/>
          <w:b/>
          <w:bCs/>
          <w:sz w:val="32"/>
          <w:szCs w:val="32"/>
          <w:lang w:val="en-US" w:eastAsia="zh-CN"/>
        </w:rPr>
        <w:t>年生均财政专项经费</w:t>
      </w:r>
      <w:r>
        <w:rPr>
          <w:rFonts w:hint="eastAsia" w:ascii="Times New Roman" w:hAnsi="Times New Roman" w:eastAsia="仿宋_GB2312" w:cs="Times New Roman"/>
          <w:sz w:val="32"/>
          <w:szCs w:val="32"/>
          <w:lang w:val="en-US" w:eastAsia="zh-CN"/>
        </w:rPr>
        <w:t>指“年生均财政拨款水平”中的专项经费支出。统计截止时间以财政年度为准。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bCs/>
          <w:sz w:val="32"/>
          <w:szCs w:val="32"/>
          <w:lang w:val="en-US" w:eastAsia="zh-CN"/>
        </w:rPr>
        <w:t>教职员工额定编制数</w:t>
      </w:r>
      <w:r>
        <w:rPr>
          <w:rFonts w:hint="eastAsia" w:ascii="Times New Roman" w:hAnsi="Times New Roman" w:eastAsia="仿宋_GB2312" w:cs="Times New Roman"/>
          <w:sz w:val="32"/>
          <w:szCs w:val="32"/>
          <w:lang w:val="en-US" w:eastAsia="zh-CN"/>
        </w:rPr>
        <w:t>：指人力资源保障部门核定的学校教职工编制数。</w:t>
      </w:r>
      <w:r>
        <w:rPr>
          <w:rFonts w:hint="eastAsia" w:ascii="Times New Roman" w:hAnsi="Times New Roman" w:eastAsia="仿宋_GB2312" w:cs="Times New Roman"/>
          <w:b/>
          <w:bCs/>
          <w:sz w:val="32"/>
          <w:szCs w:val="32"/>
          <w:lang w:val="en-US" w:eastAsia="zh-CN"/>
        </w:rPr>
        <w:t>在岗教职员工总数</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指学校在编在岗教职员工和编外聘用的教学、科研和行政岗位人员总数（不含编外聘用的工勤人员）。其中，</w:t>
      </w:r>
      <w:r>
        <w:rPr>
          <w:rFonts w:hint="eastAsia" w:ascii="Times New Roman" w:hAnsi="Times New Roman" w:eastAsia="仿宋_GB2312" w:cs="Times New Roman"/>
          <w:b/>
          <w:bCs/>
          <w:sz w:val="32"/>
          <w:szCs w:val="32"/>
          <w:lang w:val="en-US" w:eastAsia="zh-CN"/>
        </w:rPr>
        <w:t>专任教师总数</w:t>
      </w:r>
      <w:r>
        <w:rPr>
          <w:rFonts w:hint="eastAsia" w:ascii="Times New Roman" w:hAnsi="Times New Roman" w:eastAsia="仿宋_GB2312" w:cs="Times New Roman"/>
          <w:sz w:val="32"/>
          <w:szCs w:val="32"/>
          <w:lang w:val="en-US" w:eastAsia="zh-CN"/>
        </w:rPr>
        <w:t>指具有教师资格，专门从事教学工作的人员，可包括正式签约聘用的非在编的全职教师。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bCs/>
          <w:sz w:val="32"/>
          <w:szCs w:val="32"/>
          <w:lang w:val="en-US" w:eastAsia="zh-CN"/>
        </w:rPr>
        <w:t>企业提供的校内实践教学设备值</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指企业为学校提供的实践教学设备（设备在学校，产权属企业，学校有使用权）的总资产值。按照企业采购原值计算。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b/>
          <w:bCs/>
          <w:sz w:val="32"/>
          <w:szCs w:val="32"/>
          <w:lang w:val="en-US" w:eastAsia="zh-CN"/>
        </w:rPr>
        <w:t>生均企业实习经费补贴</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指用于补贴学生企业实习的经费</w:t>
      </w:r>
      <w:r>
        <w:rPr>
          <w:rFonts w:hint="eastAsia" w:ascii="仿宋_GB2312" w:hAnsi="仿宋_GB2312" w:eastAsia="仿宋_GB2312" w:cs="仿宋_GB2312"/>
          <w:sz w:val="32"/>
          <w:szCs w:val="32"/>
          <w:lang w:val="en-US" w:eastAsia="zh-CN"/>
        </w:rPr>
        <w:t>(补贴给学生个人或企业)，</w:t>
      </w:r>
      <w:r>
        <w:rPr>
          <w:rFonts w:hint="eastAsia" w:ascii="Times New Roman" w:hAnsi="Times New Roman" w:eastAsia="仿宋_GB2312" w:cs="Times New Roman"/>
          <w:sz w:val="32"/>
          <w:szCs w:val="32"/>
          <w:lang w:val="en-US" w:eastAsia="zh-CN"/>
        </w:rPr>
        <w:t>按照实习学生人数折算的平均水平。其中，</w:t>
      </w:r>
      <w:r>
        <w:rPr>
          <w:rFonts w:hint="eastAsia" w:ascii="Times New Roman" w:hAnsi="Times New Roman" w:eastAsia="仿宋_GB2312" w:cs="Times New Roman"/>
          <w:b/>
          <w:bCs/>
          <w:sz w:val="32"/>
          <w:szCs w:val="32"/>
          <w:lang w:val="en-US" w:eastAsia="zh-CN"/>
        </w:rPr>
        <w:t>生均财政专项补贴</w:t>
      </w:r>
      <w:r>
        <w:rPr>
          <w:rFonts w:hint="eastAsia" w:ascii="Times New Roman" w:hAnsi="Times New Roman" w:eastAsia="仿宋_GB2312" w:cs="Times New Roman"/>
          <w:sz w:val="32"/>
          <w:szCs w:val="32"/>
          <w:lang w:val="en-US" w:eastAsia="zh-CN"/>
        </w:rPr>
        <w:t>指“生均企业实习经费补贴”中的财政专项经费，如果没有单列财政专项则不填。</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bCs/>
          <w:sz w:val="32"/>
          <w:szCs w:val="32"/>
          <w:lang w:val="en-US" w:eastAsia="zh-CN"/>
        </w:rPr>
        <w:t>生均企业实习责任保险补贴</w:t>
      </w:r>
      <w:r>
        <w:rPr>
          <w:rFonts w:hint="eastAsia" w:ascii="Times New Roman" w:hAnsi="Times New Roman" w:eastAsia="仿宋_GB2312" w:cs="Times New Roman"/>
          <w:sz w:val="32"/>
          <w:szCs w:val="32"/>
          <w:lang w:val="en-US" w:eastAsia="zh-CN"/>
        </w:rPr>
        <w:t>：指用于补贴学生企业实习责任保险的经费，按照实习学生人数折算的平均水平。其中，</w:t>
      </w:r>
      <w:r>
        <w:rPr>
          <w:rFonts w:hint="eastAsia" w:ascii="Times New Roman" w:hAnsi="Times New Roman" w:eastAsia="仿宋_GB2312" w:cs="Times New Roman"/>
          <w:b/>
          <w:bCs/>
          <w:sz w:val="32"/>
          <w:szCs w:val="32"/>
          <w:lang w:val="en-US" w:eastAsia="zh-CN"/>
        </w:rPr>
        <w:t>生均财政专项补贴</w:t>
      </w:r>
      <w:r>
        <w:rPr>
          <w:rFonts w:hint="eastAsia" w:ascii="Times New Roman" w:hAnsi="Times New Roman" w:eastAsia="仿宋_GB2312" w:cs="Times New Roman"/>
          <w:sz w:val="32"/>
          <w:szCs w:val="32"/>
          <w:lang w:val="en-US" w:eastAsia="zh-CN"/>
        </w:rPr>
        <w:t>是指“生均企业实习责任保险补贴”中的财政专项经费，如果没有单列财政专项则不填。</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b/>
          <w:bCs/>
          <w:sz w:val="32"/>
          <w:szCs w:val="32"/>
          <w:lang w:val="en-US" w:eastAsia="zh-CN"/>
        </w:rPr>
        <w:t>企业兼职教师年课时总量</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指企业兼职教师当年为学生授课课时总量。</w:t>
      </w:r>
      <w:r>
        <w:rPr>
          <w:rFonts w:hint="eastAsia" w:ascii="Times New Roman" w:hAnsi="Times New Roman" w:eastAsia="仿宋_GB2312" w:cs="Times New Roman"/>
          <w:b/>
          <w:bCs/>
          <w:sz w:val="32"/>
          <w:szCs w:val="32"/>
          <w:lang w:val="en-US" w:eastAsia="zh-CN"/>
        </w:rPr>
        <w:t>年支付企业兼职教师课酬</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指每学年度用于支付企业兼职教师担任专业理论课、专业实践课教师的课时费总金额。兼课教师费用、企业兼职教师授课以外的费用都不能统计在内。其中，</w:t>
      </w:r>
      <w:r>
        <w:rPr>
          <w:rFonts w:hint="eastAsia" w:ascii="Times New Roman" w:hAnsi="Times New Roman" w:eastAsia="仿宋_GB2312" w:cs="Times New Roman"/>
          <w:b/>
          <w:bCs/>
          <w:sz w:val="32"/>
          <w:szCs w:val="32"/>
          <w:lang w:val="en-US" w:eastAsia="zh-CN"/>
        </w:rPr>
        <w:t>财政专项补贴</w:t>
      </w:r>
      <w:r>
        <w:rPr>
          <w:rFonts w:hint="eastAsia" w:ascii="Times New Roman" w:hAnsi="Times New Roman" w:eastAsia="仿宋_GB2312" w:cs="Times New Roman"/>
          <w:sz w:val="32"/>
          <w:szCs w:val="32"/>
          <w:lang w:val="en-US" w:eastAsia="zh-CN"/>
        </w:rPr>
        <w:t>指“年支付企业兼职教师课酬”中的财政专项经费。</w:t>
      </w:r>
    </w:p>
    <w:p>
      <w:pPr>
        <w:widowControl/>
        <w:snapToGrid w:val="0"/>
        <w:spacing w:line="312" w:lineRule="auto"/>
        <w:jc w:val="center"/>
        <w:rPr>
          <w:rFonts w:hint="default" w:ascii="Times New Roman" w:hAnsi="Times New Roman" w:eastAsia="黑体" w:cs="Times New Roman"/>
          <w:sz w:val="24"/>
          <w:szCs w:val="24"/>
        </w:rPr>
      </w:pPr>
    </w:p>
    <w:p>
      <w:pPr>
        <w:widowControl/>
        <w:snapToGrid w:val="0"/>
        <w:spacing w:line="312" w:lineRule="auto"/>
        <w:jc w:val="center"/>
        <w:rPr>
          <w:rFonts w:hint="default" w:ascii="Times New Roman" w:hAnsi="Times New Roman" w:eastAsia="黑体" w:cs="Times New Roman"/>
          <w:sz w:val="24"/>
          <w:szCs w:val="24"/>
        </w:rPr>
      </w:pPr>
    </w:p>
    <w:p>
      <w:pPr>
        <w:widowControl/>
        <w:snapToGrid w:val="0"/>
        <w:spacing w:line="312"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表6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落实政策表</w:t>
      </w:r>
    </w:p>
    <w:tbl>
      <w:tblPr>
        <w:tblStyle w:val="5"/>
        <w:tblW w:w="4998" w:type="pct"/>
        <w:jc w:val="center"/>
        <w:tblLayout w:type="autofit"/>
        <w:tblCellMar>
          <w:top w:w="0" w:type="dxa"/>
          <w:left w:w="108" w:type="dxa"/>
          <w:bottom w:w="0" w:type="dxa"/>
          <w:right w:w="108" w:type="dxa"/>
        </w:tblCellMar>
      </w:tblPr>
      <w:tblGrid>
        <w:gridCol w:w="967"/>
        <w:gridCol w:w="1180"/>
        <w:gridCol w:w="458"/>
        <w:gridCol w:w="3306"/>
        <w:gridCol w:w="698"/>
        <w:gridCol w:w="1167"/>
        <w:gridCol w:w="1168"/>
      </w:tblGrid>
      <w:tr>
        <w:tblPrEx>
          <w:tblCellMar>
            <w:top w:w="0" w:type="dxa"/>
            <w:left w:w="108" w:type="dxa"/>
            <w:bottom w:w="0" w:type="dxa"/>
            <w:right w:w="108" w:type="dxa"/>
          </w:tblCellMar>
        </w:tblPrEx>
        <w:trPr>
          <w:trHeight w:val="480" w:hRule="atLeast"/>
          <w:jc w:val="center"/>
        </w:trPr>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w:t>
            </w:r>
          </w:p>
          <w:p>
            <w:pPr>
              <w:widowControl/>
              <w:spacing w:line="36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代码</w:t>
            </w:r>
          </w:p>
        </w:tc>
        <w:tc>
          <w:tcPr>
            <w:tcW w:w="570"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院校名称</w:t>
            </w:r>
          </w:p>
        </w:tc>
        <w:tc>
          <w:tcPr>
            <w:tcW w:w="2119"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指标</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单位</w:t>
            </w:r>
          </w:p>
        </w:tc>
        <w:tc>
          <w:tcPr>
            <w:tcW w:w="680"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202</w:t>
            </w:r>
            <w:r>
              <w:rPr>
                <w:rFonts w:hint="default" w:ascii="Times New Roman" w:hAnsi="Times New Roman" w:eastAsia="仿宋_GB2312" w:cs="Times New Roman"/>
                <w:b/>
                <w:bCs/>
                <w:kern w:val="0"/>
                <w:sz w:val="24"/>
                <w:szCs w:val="24"/>
                <w:lang w:val="en-US" w:eastAsia="zh-CN"/>
              </w:rPr>
              <w:t>0</w:t>
            </w:r>
            <w:r>
              <w:rPr>
                <w:rFonts w:hint="default" w:ascii="Times New Roman" w:hAnsi="Times New Roman" w:eastAsia="仿宋_GB2312" w:cs="Times New Roman"/>
                <w:b/>
                <w:bCs/>
                <w:kern w:val="0"/>
                <w:sz w:val="24"/>
                <w:szCs w:val="24"/>
              </w:rPr>
              <w:t>年</w:t>
            </w:r>
          </w:p>
        </w:tc>
        <w:tc>
          <w:tcPr>
            <w:tcW w:w="680"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b/>
                <w:bCs/>
                <w:kern w:val="0"/>
                <w:sz w:val="24"/>
                <w:szCs w:val="24"/>
                <w:lang w:val="en-US" w:eastAsia="zh-CN"/>
              </w:rPr>
            </w:pPr>
            <w:r>
              <w:rPr>
                <w:rFonts w:hint="default" w:ascii="Times New Roman" w:hAnsi="Times New Roman" w:eastAsia="仿宋_GB2312" w:cs="Times New Roman"/>
                <w:b/>
                <w:bCs/>
                <w:kern w:val="0"/>
                <w:sz w:val="24"/>
                <w:szCs w:val="24"/>
                <w:lang w:val="en-US" w:eastAsia="zh-CN"/>
              </w:rPr>
              <w:t>2021年</w:t>
            </w:r>
          </w:p>
        </w:tc>
      </w:tr>
      <w:tr>
        <w:tblPrEx>
          <w:tblCellMar>
            <w:top w:w="0" w:type="dxa"/>
            <w:left w:w="108" w:type="dxa"/>
            <w:bottom w:w="0" w:type="dxa"/>
            <w:right w:w="108" w:type="dxa"/>
          </w:tblCellMar>
        </w:tblPrEx>
        <w:trPr>
          <w:trHeight w:val="390" w:hRule="atLeast"/>
          <w:jc w:val="center"/>
        </w:trPr>
        <w:tc>
          <w:tcPr>
            <w:tcW w:w="568" w:type="pct"/>
            <w:vMerge w:val="restart"/>
            <w:tcBorders>
              <w:top w:val="single" w:color="auto" w:sz="4" w:space="0"/>
              <w:left w:val="single" w:color="auto" w:sz="4" w:space="0"/>
              <w:right w:val="single" w:color="auto" w:sz="4" w:space="0"/>
            </w:tcBorders>
            <w:shd w:val="clear" w:color="000000" w:fill="FFFFFF"/>
            <w:vAlign w:val="bottom"/>
          </w:tcPr>
          <w:p>
            <w:pPr>
              <w:widowControl/>
              <w:spacing w:line="360" w:lineRule="exact"/>
              <w:rPr>
                <w:rFonts w:hint="default" w:ascii="Times New Roman" w:hAnsi="Times New Roman" w:eastAsia="仿宋_GB2312" w:cs="Times New Roman"/>
                <w:kern w:val="0"/>
                <w:sz w:val="24"/>
                <w:szCs w:val="24"/>
              </w:rPr>
            </w:pPr>
          </w:p>
        </w:tc>
        <w:tc>
          <w:tcPr>
            <w:tcW w:w="570" w:type="pct"/>
            <w:vMerge w:val="restart"/>
            <w:tcBorders>
              <w:top w:val="single" w:color="auto" w:sz="4" w:space="0"/>
              <w:left w:val="single" w:color="auto" w:sz="4" w:space="0"/>
              <w:right w:val="single" w:color="auto" w:sz="4" w:space="0"/>
            </w:tcBorders>
            <w:shd w:val="clear" w:color="000000" w:fill="FFFFFF"/>
            <w:vAlign w:val="bottom"/>
          </w:tcPr>
          <w:p>
            <w:pPr>
              <w:widowControl/>
              <w:spacing w:line="360" w:lineRule="exact"/>
              <w:rPr>
                <w:rFonts w:hint="default" w:ascii="Times New Roman" w:hAnsi="Times New Roman" w:eastAsia="仿宋_GB2312" w:cs="Times New Roman"/>
                <w:kern w:val="0"/>
                <w:sz w:val="24"/>
                <w:szCs w:val="24"/>
              </w:rPr>
            </w:pPr>
          </w:p>
        </w:tc>
        <w:tc>
          <w:tcPr>
            <w:tcW w:w="284" w:type="pct"/>
            <w:vMerge w:val="restart"/>
            <w:tcBorders>
              <w:top w:val="nil"/>
              <w:left w:val="nil"/>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835" w:type="pct"/>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年生均财政拨款水平</w:t>
            </w:r>
          </w:p>
        </w:tc>
        <w:tc>
          <w:tcPr>
            <w:tcW w:w="379" w:type="pct"/>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nil"/>
              <w:left w:val="nil"/>
              <w:bottom w:val="single" w:color="auto" w:sz="4" w:space="0"/>
              <w:right w:val="single" w:color="auto" w:sz="4" w:space="0"/>
            </w:tcBorders>
            <w:shd w:val="clear" w:color="000000" w:fill="FFFFFF"/>
            <w:noWrap/>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nil"/>
              <w:left w:val="nil"/>
              <w:bottom w:val="single" w:color="auto" w:sz="4" w:space="0"/>
              <w:right w:val="single" w:color="auto" w:sz="4" w:space="0"/>
            </w:tcBorders>
            <w:shd w:val="clear" w:color="000000" w:fill="FFFFFF"/>
            <w:noWrap/>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p>
        </w:tc>
        <w:tc>
          <w:tcPr>
            <w:tcW w:w="1835" w:type="pct"/>
            <w:tcBorders>
              <w:top w:val="nil"/>
              <w:left w:val="nil"/>
              <w:bottom w:val="single" w:color="auto" w:sz="4" w:space="0"/>
              <w:right w:val="single" w:color="auto" w:sz="4" w:space="0"/>
            </w:tcBorders>
            <w:shd w:val="clear" w:color="auto" w:fill="auto"/>
            <w:noWrap/>
            <w:vAlign w:val="center"/>
          </w:tcPr>
          <w:p>
            <w:pPr>
              <w:widowControl/>
              <w:spacing w:line="360" w:lineRule="exact"/>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其中：年生均财政专项经费</w:t>
            </w:r>
          </w:p>
        </w:tc>
        <w:tc>
          <w:tcPr>
            <w:tcW w:w="379" w:type="pct"/>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rPr>
                <w:rFonts w:hint="default" w:ascii="Times New Roman" w:hAnsi="Times New Roman" w:eastAsia="仿宋_GB2312" w:cs="Times New Roman"/>
                <w:kern w:val="0"/>
                <w:sz w:val="24"/>
                <w:szCs w:val="24"/>
              </w:rPr>
            </w:pP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restart"/>
            <w:tcBorders>
              <w:top w:val="nil"/>
              <w:left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835" w:type="pct"/>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教职员工额定编制数</w:t>
            </w:r>
          </w:p>
        </w:tc>
        <w:tc>
          <w:tcPr>
            <w:tcW w:w="379" w:type="pct"/>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rPr>
                <w:rFonts w:hint="default" w:ascii="Times New Roman" w:hAnsi="Times New Roman" w:eastAsia="仿宋_GB2312" w:cs="Times New Roman"/>
                <w:color w:val="FF0000"/>
                <w:kern w:val="0"/>
                <w:sz w:val="24"/>
                <w:szCs w:val="24"/>
              </w:rPr>
            </w:pP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rPr>
                <w:rFonts w:hint="default" w:ascii="Times New Roman" w:hAnsi="Times New Roman" w:eastAsia="仿宋_GB2312" w:cs="Times New Roman"/>
                <w:color w:val="FF0000"/>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1835" w:type="pct"/>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在岗教职员工总数</w:t>
            </w:r>
          </w:p>
        </w:tc>
        <w:tc>
          <w:tcPr>
            <w:tcW w:w="379" w:type="pct"/>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1835" w:type="pct"/>
            <w:tcBorders>
              <w:top w:val="nil"/>
              <w:left w:val="nil"/>
              <w:bottom w:val="single" w:color="auto" w:sz="4" w:space="0"/>
              <w:right w:val="single" w:color="auto" w:sz="4" w:space="0"/>
            </w:tcBorders>
            <w:shd w:val="clear" w:color="000000" w:fill="FFFFFF"/>
            <w:vAlign w:val="center"/>
          </w:tcPr>
          <w:p>
            <w:pPr>
              <w:widowControl/>
              <w:spacing w:line="360" w:lineRule="exact"/>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其中：专任教师总数</w:t>
            </w:r>
          </w:p>
        </w:tc>
        <w:tc>
          <w:tcPr>
            <w:tcW w:w="379" w:type="pct"/>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w:t>
            </w: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65"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835"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企业提供的校内实践教学设备值</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w:t>
            </w: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65"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restart"/>
            <w:tcBorders>
              <w:top w:val="single" w:color="auto" w:sz="4" w:space="0"/>
              <w:left w:val="nil"/>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835"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生均</w:t>
            </w:r>
            <w:r>
              <w:rPr>
                <w:rFonts w:hint="eastAsia" w:ascii="Times New Roman" w:hAnsi="Times New Roman" w:eastAsia="仿宋_GB2312" w:cs="Times New Roman"/>
                <w:kern w:val="0"/>
                <w:sz w:val="24"/>
                <w:szCs w:val="24"/>
                <w:lang w:val="en-US" w:eastAsia="zh-CN"/>
              </w:rPr>
              <w:t>企业</w:t>
            </w:r>
            <w:r>
              <w:rPr>
                <w:rFonts w:hint="default" w:ascii="Times New Roman" w:hAnsi="Times New Roman" w:eastAsia="仿宋_GB2312" w:cs="Times New Roman"/>
                <w:kern w:val="0"/>
                <w:sz w:val="24"/>
                <w:szCs w:val="24"/>
              </w:rPr>
              <w:t>实习经费补贴</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65"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p>
        </w:tc>
        <w:tc>
          <w:tcPr>
            <w:tcW w:w="1835"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其中：生均财政专项补贴</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65"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restart"/>
            <w:tcBorders>
              <w:top w:val="nil"/>
              <w:left w:val="nil"/>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18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生均企业实习责任保险补贴</w:t>
            </w:r>
          </w:p>
        </w:tc>
        <w:tc>
          <w:tcPr>
            <w:tcW w:w="37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65"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其中：生均财政专项补贴</w:t>
            </w:r>
          </w:p>
        </w:tc>
        <w:tc>
          <w:tcPr>
            <w:tcW w:w="37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restart"/>
            <w:tcBorders>
              <w:top w:val="nil"/>
              <w:left w:val="nil"/>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1835"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企业兼职教师年课时总量</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课时</w:t>
            </w: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nil"/>
              <w:right w:val="single" w:color="auto" w:sz="4" w:space="0"/>
            </w:tcBorders>
            <w:shd w:val="clear" w:color="000000" w:fill="FFFFFF"/>
            <w:vAlign w:val="center"/>
          </w:tcPr>
          <w:p>
            <w:pPr>
              <w:widowControl/>
              <w:spacing w:line="360" w:lineRule="exact"/>
              <w:rPr>
                <w:rFonts w:hint="default" w:ascii="Times New Roman" w:hAnsi="Times New Roman" w:eastAsia="仿宋_GB2312" w:cs="Times New Roman"/>
                <w:kern w:val="0"/>
                <w:sz w:val="24"/>
                <w:szCs w:val="24"/>
              </w:rPr>
            </w:pPr>
          </w:p>
        </w:tc>
        <w:tc>
          <w:tcPr>
            <w:tcW w:w="1835"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年支付企业兼职教师课酬</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90" w:hRule="atLeast"/>
          <w:jc w:val="center"/>
        </w:trPr>
        <w:tc>
          <w:tcPr>
            <w:tcW w:w="568" w:type="pct"/>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570" w:type="pct"/>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 w:val="24"/>
                <w:szCs w:val="24"/>
              </w:rPr>
            </w:pPr>
          </w:p>
        </w:tc>
        <w:tc>
          <w:tcPr>
            <w:tcW w:w="284" w:type="pct"/>
            <w:vMerge w:val="continue"/>
            <w:tcBorders>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p>
        </w:tc>
        <w:tc>
          <w:tcPr>
            <w:tcW w:w="1835"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ind w:firstLine="240" w:firstLineChars="1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其中：财政专项补贴</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w:t>
            </w: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c>
          <w:tcPr>
            <w:tcW w:w="680"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hint="default" w:ascii="Times New Roman" w:hAnsi="Times New Roman" w:eastAsia="仿宋_GB2312" w:cs="Times New Roman"/>
                <w:kern w:val="0"/>
                <w:sz w:val="24"/>
                <w:szCs w:val="24"/>
              </w:rPr>
            </w:pPr>
          </w:p>
        </w:tc>
      </w:tr>
    </w:tbl>
    <w:p>
      <w:pPr>
        <w:rPr>
          <w:rFonts w:hint="default" w:ascii="Times New Roman" w:hAnsi="Times New Roman" w:cs="Times New Roman" w:eastAsiaTheme="minorEastAsia"/>
          <w:sz w:val="24"/>
          <w:szCs w:val="24"/>
        </w:rPr>
      </w:pPr>
    </w:p>
    <w:p>
      <w:pPr>
        <w:rPr>
          <w:rFonts w:hint="default" w:ascii="Times New Roman" w:hAnsi="Times New Roman" w:cs="Times New Roman" w:eastAsiaTheme="minorEastAsia"/>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outlineLvl w:val="9"/>
        <w:rPr>
          <w:rFonts w:hint="default" w:ascii="Times New Roman" w:hAnsi="Times New Roman" w:eastAsia="仿宋_GB2312" w:cs="Times New Roman"/>
          <w:sz w:val="24"/>
          <w:szCs w:val="24"/>
          <w:lang w:val="en-US" w:eastAsia="zh-CN"/>
        </w:rPr>
      </w:pPr>
    </w:p>
    <w:sectPr>
      <w:footerReference r:id="rId3" w:type="default"/>
      <w:pgSz w:w="11906" w:h="16838"/>
      <w:pgMar w:top="1814"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634A"/>
    <w:rsid w:val="000611FD"/>
    <w:rsid w:val="0010107E"/>
    <w:rsid w:val="0035634A"/>
    <w:rsid w:val="00494EC8"/>
    <w:rsid w:val="00CE7EB4"/>
    <w:rsid w:val="00F260A5"/>
    <w:rsid w:val="01A46E82"/>
    <w:rsid w:val="0679579F"/>
    <w:rsid w:val="0A4F6F8F"/>
    <w:rsid w:val="0BFB2818"/>
    <w:rsid w:val="0CEA22F8"/>
    <w:rsid w:val="12EF23B3"/>
    <w:rsid w:val="139F5414"/>
    <w:rsid w:val="14A14C0E"/>
    <w:rsid w:val="19F9667B"/>
    <w:rsid w:val="1E627C81"/>
    <w:rsid w:val="255819DF"/>
    <w:rsid w:val="27537B46"/>
    <w:rsid w:val="2DC570F8"/>
    <w:rsid w:val="32497A34"/>
    <w:rsid w:val="36C83EA7"/>
    <w:rsid w:val="39CA0F26"/>
    <w:rsid w:val="3F2C7E62"/>
    <w:rsid w:val="3F993A27"/>
    <w:rsid w:val="3FF67210"/>
    <w:rsid w:val="4083306A"/>
    <w:rsid w:val="42CD0BC2"/>
    <w:rsid w:val="482C3030"/>
    <w:rsid w:val="48F71CB1"/>
    <w:rsid w:val="4A9A5F81"/>
    <w:rsid w:val="4C7F1A23"/>
    <w:rsid w:val="4FF22988"/>
    <w:rsid w:val="574C456D"/>
    <w:rsid w:val="584C24F0"/>
    <w:rsid w:val="59887134"/>
    <w:rsid w:val="5B174FCE"/>
    <w:rsid w:val="5B5F031B"/>
    <w:rsid w:val="639058F8"/>
    <w:rsid w:val="67115F43"/>
    <w:rsid w:val="72CD63EF"/>
    <w:rsid w:val="766830B5"/>
    <w:rsid w:val="78BA383E"/>
    <w:rsid w:val="7CD42231"/>
    <w:rsid w:val="7DB2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宋体" w:cs="Times New Roman"/>
      <w:kern w:val="2"/>
      <w:sz w:val="18"/>
      <w:szCs w:val="18"/>
    </w:rPr>
  </w:style>
  <w:style w:type="character" w:customStyle="1" w:styleId="9">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6040</Words>
  <Characters>6214</Characters>
  <Lines>2</Lines>
  <Paragraphs>1</Paragraphs>
  <TotalTime>8</TotalTime>
  <ScaleCrop>false</ScaleCrop>
  <LinksUpToDate>false</LinksUpToDate>
  <CharactersWithSpaces>6252</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2019-12-02T06:44:00Z</dcterms:created>
  <dc:creator>User</dc:creator>
  <cp:lastModifiedBy>亚歌</cp:lastModifiedBy>
  <cp:lastPrinted>2021-09-13T03:14:00Z</cp:lastPrinted>
  <dcterms:modified xsi:type="dcterms:W3CDTF">2021-09-17T06:33:26Z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78255FBA553644A892876B2CB22B1E23</vt:lpwstr>
  </property>
</Properties>
</file>